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784070" w:rsidP="00A55989">
      <w:pPr>
        <w:pStyle w:val="DHHSbodynospace"/>
      </w:pPr>
      <w:bookmarkStart w:id="0" w:name="_GoBack"/>
      <w:bookmarkEnd w:id="0"/>
      <w:r>
        <w:rPr>
          <w:noProof/>
          <w:lang w:val="en-US"/>
        </w:rPr>
        <w:drawing>
          <wp:anchor distT="0" distB="0" distL="114300" distR="114300" simplePos="0" relativeHeight="251659264" behindDoc="1" locked="1" layoutInCell="0" allowOverlap="1" wp14:anchorId="479C3555" wp14:editId="4EB6E98D">
            <wp:simplePos x="0" y="0"/>
            <wp:positionH relativeFrom="page">
              <wp:posOffset>-2076450</wp:posOffset>
            </wp:positionH>
            <wp:positionV relativeFrom="page">
              <wp:posOffset>-47625</wp:posOffset>
            </wp:positionV>
            <wp:extent cx="9705975" cy="10791825"/>
            <wp:effectExtent l="0" t="0" r="9525" b="9525"/>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5975"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07" w:type="dxa"/>
        <w:tblInd w:w="113" w:type="dxa"/>
        <w:tblCellMar>
          <w:left w:w="0" w:type="dxa"/>
          <w:right w:w="0" w:type="dxa"/>
        </w:tblCellMar>
        <w:tblLook w:val="04A0" w:firstRow="1" w:lastRow="0" w:firstColumn="1" w:lastColumn="0" w:noHBand="0" w:noVBand="1"/>
      </w:tblPr>
      <w:tblGrid>
        <w:gridCol w:w="8307"/>
      </w:tblGrid>
      <w:tr w:rsidR="001817CD" w:rsidRPr="003072C6" w:rsidTr="00784070">
        <w:trPr>
          <w:trHeight w:val="3268"/>
        </w:trPr>
        <w:tc>
          <w:tcPr>
            <w:tcW w:w="8307" w:type="dxa"/>
            <w:shd w:val="clear" w:color="auto" w:fill="auto"/>
          </w:tcPr>
          <w:p w:rsidR="00784070" w:rsidRPr="003072C6" w:rsidRDefault="00784070" w:rsidP="00784070">
            <w:pPr>
              <w:pStyle w:val="DHHSbodynospace"/>
            </w:pPr>
            <w:r>
              <w:rPr>
                <w:noProof/>
                <w:lang w:val="en-US"/>
              </w:rPr>
              <w:drawing>
                <wp:anchor distT="0" distB="0" distL="114300" distR="114300" simplePos="0" relativeHeight="251661312" behindDoc="1" locked="1" layoutInCell="0" allowOverlap="1" wp14:anchorId="14142C7C" wp14:editId="64FB4498">
                  <wp:simplePos x="0" y="0"/>
                  <wp:positionH relativeFrom="page">
                    <wp:posOffset>-1438275</wp:posOffset>
                  </wp:positionH>
                  <wp:positionV relativeFrom="page">
                    <wp:posOffset>-12700</wp:posOffset>
                  </wp:positionV>
                  <wp:extent cx="9067800" cy="10791825"/>
                  <wp:effectExtent l="0" t="0" r="0" b="9525"/>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0"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190" w:type="dxa"/>
              <w:tblCellMar>
                <w:left w:w="0" w:type="dxa"/>
                <w:right w:w="0" w:type="dxa"/>
              </w:tblCellMar>
              <w:tblLook w:val="04A0" w:firstRow="1" w:lastRow="0" w:firstColumn="1" w:lastColumn="0" w:noHBand="0" w:noVBand="1"/>
            </w:tblPr>
            <w:tblGrid>
              <w:gridCol w:w="8190"/>
            </w:tblGrid>
            <w:tr w:rsidR="00784070" w:rsidRPr="003072C6" w:rsidTr="00B67876">
              <w:trPr>
                <w:trHeight w:val="3268"/>
              </w:trPr>
              <w:tc>
                <w:tcPr>
                  <w:tcW w:w="8190" w:type="dxa"/>
                  <w:shd w:val="clear" w:color="auto" w:fill="auto"/>
                </w:tcPr>
                <w:p w:rsidR="00784070" w:rsidRDefault="00784070" w:rsidP="004E6BE8">
                  <w:pPr>
                    <w:pStyle w:val="DHHSreportmaintitlewhite"/>
                  </w:pPr>
                  <w:r>
                    <w:t xml:space="preserve">Statement of Priorities </w:t>
                  </w:r>
                </w:p>
                <w:p w:rsidR="00784070" w:rsidRPr="005578AB" w:rsidRDefault="00784070" w:rsidP="00AB6E51">
                  <w:pPr>
                    <w:pStyle w:val="DHHSreportsubtitlewhite"/>
                    <w:rPr>
                      <w:color w:val="FFFFFF" w:themeColor="background1"/>
                    </w:rPr>
                  </w:pPr>
                  <w:r>
                    <w:t xml:space="preserve">2017-18 </w:t>
                  </w:r>
                  <w:r w:rsidRPr="008A379D">
                    <w:t>Agreement between</w:t>
                  </w:r>
                  <w:r>
                    <w:t xml:space="preserve"> the </w:t>
                  </w:r>
                  <w:r w:rsidRPr="00E2693B">
                    <w:t>Secretary for the Department of Health and Human Services and</w:t>
                  </w:r>
                  <w:r w:rsidRPr="00C1529D">
                    <w:t xml:space="preserve"> </w:t>
                  </w:r>
                  <w:r w:rsidR="00AB6E51">
                    <w:t xml:space="preserve">          Maldon Hospital</w:t>
                  </w:r>
                </w:p>
              </w:tc>
            </w:tr>
          </w:tbl>
          <w:p w:rsidR="00444D82" w:rsidRPr="005578AB" w:rsidRDefault="00444D82" w:rsidP="00642DCB">
            <w:pPr>
              <w:pStyle w:val="DHHSreportsubtitlewhite"/>
              <w:rPr>
                <w:color w:val="FFFFFF" w:themeColor="background1"/>
              </w:rPr>
            </w:pPr>
          </w:p>
        </w:tc>
      </w:tr>
      <w:tr w:rsidR="001817CD" w:rsidRPr="003072C6" w:rsidTr="00784070">
        <w:trPr>
          <w:trHeight w:val="3823"/>
        </w:trPr>
        <w:tc>
          <w:tcPr>
            <w:tcW w:w="8307"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footerReference w:type="default" r:id="rId10"/>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326"/>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8D2E92">
        <w:trPr>
          <w:trHeight w:val="8181"/>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5578AB" w:rsidRPr="005578AB">
              <w:rPr>
                <w:rFonts w:ascii="Arial" w:eastAsia="Times" w:hAnsi="Arial"/>
                <w:sz w:val="24"/>
                <w:szCs w:val="19"/>
              </w:rPr>
              <w:t xml:space="preserve">9096 </w:t>
            </w:r>
            <w:r w:rsidR="00C12832" w:rsidRPr="00C12832">
              <w:rPr>
                <w:rFonts w:ascii="Arial" w:eastAsia="Times" w:hAnsi="Arial"/>
                <w:sz w:val="24"/>
                <w:szCs w:val="19"/>
              </w:rPr>
              <w:t>1309</w:t>
            </w:r>
            <w:r w:rsidRPr="00605B5B">
              <w:rPr>
                <w:rFonts w:ascii="Arial" w:eastAsia="Times" w:hAnsi="Arial"/>
                <w:sz w:val="24"/>
                <w:szCs w:val="19"/>
              </w:rPr>
              <w:t xml:space="preserve">, using the National Relay Service 13 36 77 if required, or email </w:t>
            </w:r>
            <w:hyperlink r:id="rId11" w:history="1">
              <w:r w:rsidR="00C12832" w:rsidRPr="00C52445">
                <w:rPr>
                  <w:rStyle w:val="Hyperlink"/>
                  <w:rFonts w:ascii="Arial" w:eastAsia="Times" w:hAnsi="Arial"/>
                  <w:sz w:val="24"/>
                  <w:szCs w:val="19"/>
                </w:rPr>
                <w:t>ryan.heath@dhhs.vic.gov.au</w:t>
              </w:r>
            </w:hyperlink>
            <w:r w:rsidR="00842D75">
              <w:rPr>
                <w:rFonts w:ascii="Arial" w:eastAsia="Times" w:hAnsi="Arial"/>
                <w:sz w:val="24"/>
                <w:szCs w:val="19"/>
              </w:rPr>
              <w: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E36565">
              <w:rPr>
                <w:rFonts w:ascii="Arial" w:eastAsia="Times" w:hAnsi="Arial"/>
              </w:rPr>
              <w:t>,</w:t>
            </w:r>
            <w:r w:rsidR="00913049">
              <w:rPr>
                <w:rFonts w:ascii="Arial" w:eastAsia="Times" w:hAnsi="Arial"/>
              </w:rPr>
              <w:t xml:space="preserve"> November 2017</w:t>
            </w:r>
            <w:r w:rsidRPr="00605B5B">
              <w:rPr>
                <w:rFonts w:ascii="Arial" w:eastAsia="Times" w:hAnsi="Arial"/>
              </w:rPr>
              <w:t>.</w:t>
            </w:r>
          </w:p>
          <w:p w:rsidR="00605B5B" w:rsidRPr="001C7D91" w:rsidRDefault="00605B5B" w:rsidP="00605B5B">
            <w:pPr>
              <w:spacing w:after="120" w:line="270" w:lineRule="atLeast"/>
              <w:rPr>
                <w:rFonts w:ascii="Arial" w:eastAsia="Times" w:hAnsi="Arial"/>
              </w:rPr>
            </w:pPr>
            <w:r w:rsidRPr="001C7D91">
              <w:rPr>
                <w:rFonts w:ascii="Arial" w:eastAsia="Times" w:hAnsi="Arial"/>
              </w:rPr>
              <w:t xml:space="preserve">ISSN </w:t>
            </w:r>
            <w:r w:rsidR="00AB6E51" w:rsidRPr="00AB6E51">
              <w:rPr>
                <w:rFonts w:ascii="Arial" w:eastAsia="Times" w:hAnsi="Arial"/>
              </w:rPr>
              <w:t>2206-7132</w:t>
            </w:r>
          </w:p>
          <w:p w:rsidR="00564E8F" w:rsidRPr="003072C6" w:rsidRDefault="00605B5B" w:rsidP="00E24A2F">
            <w:pPr>
              <w:spacing w:after="120" w:line="270" w:lineRule="atLeast"/>
            </w:pPr>
            <w:r w:rsidRPr="00605B5B">
              <w:rPr>
                <w:rFonts w:ascii="Arial" w:eastAsia="Times" w:hAnsi="Arial"/>
                <w:szCs w:val="19"/>
              </w:rPr>
              <w:t>Available at</w:t>
            </w:r>
            <w:r w:rsidR="00E24A2F">
              <w:rPr>
                <w:rFonts w:ascii="Arial" w:eastAsia="Times" w:hAnsi="Arial"/>
                <w:szCs w:val="19"/>
              </w:rPr>
              <w:t xml:space="preserve"> </w:t>
            </w:r>
            <w:hyperlink r:id="rId12" w:history="1">
              <w:r w:rsidR="00E24A2F" w:rsidRPr="00B668B4">
                <w:rPr>
                  <w:rStyle w:val="Hyperlink"/>
                  <w:rFonts w:ascii="Arial" w:eastAsia="Times" w:hAnsi="Arial"/>
                  <w:szCs w:val="19"/>
                </w:rPr>
                <w:t>https://www2.health.vic.gov.au/hospitals-and-health-services/funding-performance-accountability/statement-of-priorities</w:t>
              </w:r>
            </w:hyperlink>
            <w:r w:rsidR="00E24A2F">
              <w:rPr>
                <w:rFonts w:ascii="Arial" w:eastAsia="Times" w:hAnsi="Arial"/>
                <w:szCs w:val="19"/>
              </w:rPr>
              <w:t xml:space="preserve"> </w:t>
            </w:r>
            <w:r w:rsidRPr="00605B5B">
              <w:rPr>
                <w:rFonts w:ascii="Arial" w:eastAsia="Times" w:hAnsi="Arial"/>
                <w:szCs w:val="19"/>
              </w:rPr>
              <w:t xml:space="preserve"> </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C62E65" w:rsidRDefault="00AC0C3B" w:rsidP="00FD75BF">
      <w:pPr>
        <w:pStyle w:val="DHHSTOCheadingreport"/>
        <w:rPr>
          <w:color w:val="7030A0"/>
        </w:rPr>
      </w:pPr>
      <w:r w:rsidRPr="00C62E65">
        <w:rPr>
          <w:color w:val="7030A0"/>
        </w:rPr>
        <w:lastRenderedPageBreak/>
        <w:t>Contents</w:t>
      </w:r>
    </w:p>
    <w:p w:rsidR="00C803B2" w:rsidRDefault="00F578EA">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\h \z \t "Heading 1,1,Heading 2,2" </w:instrText>
      </w:r>
      <w:r>
        <w:rPr>
          <w:b w:val="0"/>
          <w:noProof w:val="0"/>
        </w:rPr>
        <w:fldChar w:fldCharType="separate"/>
      </w:r>
      <w:hyperlink w:anchor="_Toc492973370" w:history="1">
        <w:r w:rsidR="00C803B2" w:rsidRPr="006A47F5">
          <w:rPr>
            <w:rStyle w:val="Hyperlink"/>
          </w:rPr>
          <w:t>Background</w:t>
        </w:r>
        <w:r w:rsidR="00C803B2">
          <w:rPr>
            <w:webHidden/>
          </w:rPr>
          <w:tab/>
        </w:r>
        <w:r w:rsidR="00C803B2">
          <w:rPr>
            <w:webHidden/>
          </w:rPr>
          <w:fldChar w:fldCharType="begin"/>
        </w:r>
        <w:r w:rsidR="00C803B2">
          <w:rPr>
            <w:webHidden/>
          </w:rPr>
          <w:instrText xml:space="preserve"> PAGEREF _Toc492973370 \h </w:instrText>
        </w:r>
        <w:r w:rsidR="00C803B2">
          <w:rPr>
            <w:webHidden/>
          </w:rPr>
        </w:r>
        <w:r w:rsidR="00C803B2">
          <w:rPr>
            <w:webHidden/>
          </w:rPr>
          <w:fldChar w:fldCharType="separate"/>
        </w:r>
        <w:r w:rsidR="00C803B2">
          <w:rPr>
            <w:webHidden/>
          </w:rPr>
          <w:t>4</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71" w:history="1">
        <w:r w:rsidR="00C803B2" w:rsidRPr="006A47F5">
          <w:rPr>
            <w:rStyle w:val="Hyperlink"/>
          </w:rPr>
          <w:t>Strategic priorities</w:t>
        </w:r>
        <w:r w:rsidR="00C803B2">
          <w:rPr>
            <w:webHidden/>
          </w:rPr>
          <w:tab/>
        </w:r>
        <w:r w:rsidR="00C803B2">
          <w:rPr>
            <w:webHidden/>
          </w:rPr>
          <w:fldChar w:fldCharType="begin"/>
        </w:r>
        <w:r w:rsidR="00C803B2">
          <w:rPr>
            <w:webHidden/>
          </w:rPr>
          <w:instrText xml:space="preserve"> PAGEREF _Toc492973371 \h </w:instrText>
        </w:r>
        <w:r w:rsidR="00C803B2">
          <w:rPr>
            <w:webHidden/>
          </w:rPr>
        </w:r>
        <w:r w:rsidR="00C803B2">
          <w:rPr>
            <w:webHidden/>
          </w:rPr>
          <w:fldChar w:fldCharType="separate"/>
        </w:r>
        <w:r w:rsidR="00C803B2">
          <w:rPr>
            <w:webHidden/>
          </w:rPr>
          <w:t>5</w:t>
        </w:r>
        <w:r w:rsidR="00C803B2">
          <w:rPr>
            <w:webHidden/>
          </w:rPr>
          <w:fldChar w:fldCharType="end"/>
        </w:r>
      </w:hyperlink>
    </w:p>
    <w:p w:rsidR="00C803B2" w:rsidRDefault="000D71AE">
      <w:pPr>
        <w:pStyle w:val="TOC2"/>
        <w:rPr>
          <w:rFonts w:asciiTheme="minorHAnsi" w:eastAsiaTheme="minorEastAsia" w:hAnsiTheme="minorHAnsi" w:cstheme="minorBidi"/>
          <w:sz w:val="22"/>
          <w:szCs w:val="22"/>
          <w:lang w:eastAsia="en-AU"/>
        </w:rPr>
      </w:pPr>
      <w:hyperlink w:anchor="_Toc492973372" w:history="1">
        <w:r w:rsidR="00C803B2" w:rsidRPr="006A47F5">
          <w:rPr>
            <w:rStyle w:val="Hyperlink"/>
          </w:rPr>
          <w:t>Government commitments</w:t>
        </w:r>
        <w:r w:rsidR="00C803B2">
          <w:rPr>
            <w:webHidden/>
          </w:rPr>
          <w:tab/>
        </w:r>
        <w:r w:rsidR="00C803B2">
          <w:rPr>
            <w:webHidden/>
          </w:rPr>
          <w:fldChar w:fldCharType="begin"/>
        </w:r>
        <w:r w:rsidR="00C803B2">
          <w:rPr>
            <w:webHidden/>
          </w:rPr>
          <w:instrText xml:space="preserve"> PAGEREF _Toc492973372 \h </w:instrText>
        </w:r>
        <w:r w:rsidR="00C803B2">
          <w:rPr>
            <w:webHidden/>
          </w:rPr>
        </w:r>
        <w:r w:rsidR="00C803B2">
          <w:rPr>
            <w:webHidden/>
          </w:rPr>
          <w:fldChar w:fldCharType="separate"/>
        </w:r>
        <w:r w:rsidR="00C803B2">
          <w:rPr>
            <w:webHidden/>
          </w:rPr>
          <w:t>5</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73" w:history="1">
        <w:r w:rsidR="00C803B2" w:rsidRPr="006A47F5">
          <w:rPr>
            <w:rStyle w:val="Hyperlink"/>
          </w:rPr>
          <w:t>Part A: Strategic overview</w:t>
        </w:r>
        <w:r w:rsidR="00C803B2">
          <w:rPr>
            <w:webHidden/>
          </w:rPr>
          <w:tab/>
        </w:r>
        <w:r w:rsidR="00C803B2">
          <w:rPr>
            <w:webHidden/>
          </w:rPr>
          <w:fldChar w:fldCharType="begin"/>
        </w:r>
        <w:r w:rsidR="00C803B2">
          <w:rPr>
            <w:webHidden/>
          </w:rPr>
          <w:instrText xml:space="preserve"> PAGEREF _Toc492973373 \h </w:instrText>
        </w:r>
        <w:r w:rsidR="00C803B2">
          <w:rPr>
            <w:webHidden/>
          </w:rPr>
        </w:r>
        <w:r w:rsidR="00C803B2">
          <w:rPr>
            <w:webHidden/>
          </w:rPr>
          <w:fldChar w:fldCharType="separate"/>
        </w:r>
        <w:r w:rsidR="00C803B2">
          <w:rPr>
            <w:webHidden/>
          </w:rPr>
          <w:t>6</w:t>
        </w:r>
        <w:r w:rsidR="00C803B2">
          <w:rPr>
            <w:webHidden/>
          </w:rPr>
          <w:fldChar w:fldCharType="end"/>
        </w:r>
      </w:hyperlink>
    </w:p>
    <w:p w:rsidR="00C803B2" w:rsidRDefault="000D71AE">
      <w:pPr>
        <w:pStyle w:val="TOC2"/>
        <w:rPr>
          <w:rFonts w:asciiTheme="minorHAnsi" w:eastAsiaTheme="minorEastAsia" w:hAnsiTheme="minorHAnsi" w:cstheme="minorBidi"/>
          <w:sz w:val="22"/>
          <w:szCs w:val="22"/>
          <w:lang w:eastAsia="en-AU"/>
        </w:rPr>
      </w:pPr>
      <w:hyperlink w:anchor="_Toc492973374" w:history="1">
        <w:r w:rsidR="00C803B2" w:rsidRPr="006A47F5">
          <w:rPr>
            <w:rStyle w:val="Hyperlink"/>
          </w:rPr>
          <w:t>Mission statement</w:t>
        </w:r>
        <w:r w:rsidR="00C803B2">
          <w:rPr>
            <w:webHidden/>
          </w:rPr>
          <w:tab/>
        </w:r>
        <w:r w:rsidR="00C803B2">
          <w:rPr>
            <w:webHidden/>
          </w:rPr>
          <w:fldChar w:fldCharType="begin"/>
        </w:r>
        <w:r w:rsidR="00C803B2">
          <w:rPr>
            <w:webHidden/>
          </w:rPr>
          <w:instrText xml:space="preserve"> PAGEREF _Toc492973374 \h </w:instrText>
        </w:r>
        <w:r w:rsidR="00C803B2">
          <w:rPr>
            <w:webHidden/>
          </w:rPr>
        </w:r>
        <w:r w:rsidR="00C803B2">
          <w:rPr>
            <w:webHidden/>
          </w:rPr>
          <w:fldChar w:fldCharType="separate"/>
        </w:r>
        <w:r w:rsidR="00C803B2">
          <w:rPr>
            <w:webHidden/>
          </w:rPr>
          <w:t>6</w:t>
        </w:r>
        <w:r w:rsidR="00C803B2">
          <w:rPr>
            <w:webHidden/>
          </w:rPr>
          <w:fldChar w:fldCharType="end"/>
        </w:r>
      </w:hyperlink>
    </w:p>
    <w:p w:rsidR="00C803B2" w:rsidRDefault="000D71AE">
      <w:pPr>
        <w:pStyle w:val="TOC2"/>
        <w:rPr>
          <w:rFonts w:asciiTheme="minorHAnsi" w:eastAsiaTheme="minorEastAsia" w:hAnsiTheme="minorHAnsi" w:cstheme="minorBidi"/>
          <w:sz w:val="22"/>
          <w:szCs w:val="22"/>
          <w:lang w:eastAsia="en-AU"/>
        </w:rPr>
      </w:pPr>
      <w:hyperlink w:anchor="_Toc492973375" w:history="1">
        <w:r w:rsidR="00C803B2" w:rsidRPr="006A47F5">
          <w:rPr>
            <w:rStyle w:val="Hyperlink"/>
          </w:rPr>
          <w:t>Service profile</w:t>
        </w:r>
        <w:r w:rsidR="00C803B2">
          <w:rPr>
            <w:webHidden/>
          </w:rPr>
          <w:tab/>
        </w:r>
        <w:r w:rsidR="00C803B2">
          <w:rPr>
            <w:webHidden/>
          </w:rPr>
          <w:fldChar w:fldCharType="begin"/>
        </w:r>
        <w:r w:rsidR="00C803B2">
          <w:rPr>
            <w:webHidden/>
          </w:rPr>
          <w:instrText xml:space="preserve"> PAGEREF _Toc492973375 \h </w:instrText>
        </w:r>
        <w:r w:rsidR="00C803B2">
          <w:rPr>
            <w:webHidden/>
          </w:rPr>
        </w:r>
        <w:r w:rsidR="00C803B2">
          <w:rPr>
            <w:webHidden/>
          </w:rPr>
          <w:fldChar w:fldCharType="separate"/>
        </w:r>
        <w:r w:rsidR="00C803B2">
          <w:rPr>
            <w:webHidden/>
          </w:rPr>
          <w:t>6</w:t>
        </w:r>
        <w:r w:rsidR="00C803B2">
          <w:rPr>
            <w:webHidden/>
          </w:rPr>
          <w:fldChar w:fldCharType="end"/>
        </w:r>
      </w:hyperlink>
    </w:p>
    <w:p w:rsidR="00C803B2" w:rsidRDefault="000D71AE">
      <w:pPr>
        <w:pStyle w:val="TOC2"/>
        <w:rPr>
          <w:rFonts w:asciiTheme="minorHAnsi" w:eastAsiaTheme="minorEastAsia" w:hAnsiTheme="minorHAnsi" w:cstheme="minorBidi"/>
          <w:sz w:val="22"/>
          <w:szCs w:val="22"/>
          <w:lang w:eastAsia="en-AU"/>
        </w:rPr>
      </w:pPr>
      <w:hyperlink w:anchor="_Toc492973376" w:history="1">
        <w:r w:rsidR="00C803B2" w:rsidRPr="006A47F5">
          <w:rPr>
            <w:rStyle w:val="Hyperlink"/>
          </w:rPr>
          <w:t>Strategic planning</w:t>
        </w:r>
        <w:r w:rsidR="00C803B2">
          <w:rPr>
            <w:webHidden/>
          </w:rPr>
          <w:tab/>
        </w:r>
        <w:r w:rsidR="00C803B2">
          <w:rPr>
            <w:webHidden/>
          </w:rPr>
          <w:fldChar w:fldCharType="begin"/>
        </w:r>
        <w:r w:rsidR="00C803B2">
          <w:rPr>
            <w:webHidden/>
          </w:rPr>
          <w:instrText xml:space="preserve"> PAGEREF _Toc492973376 \h </w:instrText>
        </w:r>
        <w:r w:rsidR="00C803B2">
          <w:rPr>
            <w:webHidden/>
          </w:rPr>
        </w:r>
        <w:r w:rsidR="00C803B2">
          <w:rPr>
            <w:webHidden/>
          </w:rPr>
          <w:fldChar w:fldCharType="separate"/>
        </w:r>
        <w:r w:rsidR="00C803B2">
          <w:rPr>
            <w:webHidden/>
          </w:rPr>
          <w:t>6</w:t>
        </w:r>
        <w:r w:rsidR="00C803B2">
          <w:rPr>
            <w:webHidden/>
          </w:rPr>
          <w:fldChar w:fldCharType="end"/>
        </w:r>
      </w:hyperlink>
    </w:p>
    <w:p w:rsidR="00C803B2" w:rsidRDefault="000D71AE">
      <w:pPr>
        <w:pStyle w:val="TOC2"/>
        <w:rPr>
          <w:rFonts w:asciiTheme="minorHAnsi" w:eastAsiaTheme="minorEastAsia" w:hAnsiTheme="minorHAnsi" w:cstheme="minorBidi"/>
          <w:sz w:val="22"/>
          <w:szCs w:val="22"/>
          <w:lang w:eastAsia="en-AU"/>
        </w:rPr>
      </w:pPr>
      <w:hyperlink w:anchor="_Toc492973377" w:history="1">
        <w:r w:rsidR="00C803B2" w:rsidRPr="006A47F5">
          <w:rPr>
            <w:rStyle w:val="Hyperlink"/>
            <w:rFonts w:eastAsia="Times"/>
          </w:rPr>
          <w:t>Strategic priorities</w:t>
        </w:r>
        <w:r w:rsidR="00C803B2">
          <w:rPr>
            <w:webHidden/>
          </w:rPr>
          <w:tab/>
        </w:r>
        <w:r w:rsidR="00C803B2">
          <w:rPr>
            <w:webHidden/>
          </w:rPr>
          <w:fldChar w:fldCharType="begin"/>
        </w:r>
        <w:r w:rsidR="00C803B2">
          <w:rPr>
            <w:webHidden/>
          </w:rPr>
          <w:instrText xml:space="preserve"> PAGEREF _Toc492973377 \h </w:instrText>
        </w:r>
        <w:r w:rsidR="00C803B2">
          <w:rPr>
            <w:webHidden/>
          </w:rPr>
        </w:r>
        <w:r w:rsidR="00C803B2">
          <w:rPr>
            <w:webHidden/>
          </w:rPr>
          <w:fldChar w:fldCharType="separate"/>
        </w:r>
        <w:r w:rsidR="00C803B2">
          <w:rPr>
            <w:webHidden/>
          </w:rPr>
          <w:t>7</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78" w:history="1">
        <w:r w:rsidR="00C803B2" w:rsidRPr="006A47F5">
          <w:rPr>
            <w:rStyle w:val="Hyperlink"/>
          </w:rPr>
          <w:t>Part B: Performance priorities</w:t>
        </w:r>
        <w:r w:rsidR="00C803B2">
          <w:rPr>
            <w:webHidden/>
          </w:rPr>
          <w:tab/>
        </w:r>
        <w:r w:rsidR="00C803B2">
          <w:rPr>
            <w:webHidden/>
          </w:rPr>
          <w:fldChar w:fldCharType="begin"/>
        </w:r>
        <w:r w:rsidR="00C803B2">
          <w:rPr>
            <w:webHidden/>
          </w:rPr>
          <w:instrText xml:space="preserve"> PAGEREF _Toc492973378 \h </w:instrText>
        </w:r>
        <w:r w:rsidR="00C803B2">
          <w:rPr>
            <w:webHidden/>
          </w:rPr>
        </w:r>
        <w:r w:rsidR="00C803B2">
          <w:rPr>
            <w:webHidden/>
          </w:rPr>
          <w:fldChar w:fldCharType="separate"/>
        </w:r>
        <w:r w:rsidR="00C803B2">
          <w:rPr>
            <w:webHidden/>
          </w:rPr>
          <w:t>9</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79" w:history="1">
        <w:r w:rsidR="00C803B2" w:rsidRPr="006A47F5">
          <w:rPr>
            <w:rStyle w:val="Hyperlink"/>
          </w:rPr>
          <w:t>Part C: Activity and funding</w:t>
        </w:r>
        <w:r w:rsidR="00C803B2">
          <w:rPr>
            <w:webHidden/>
          </w:rPr>
          <w:tab/>
        </w:r>
        <w:r w:rsidR="00C803B2">
          <w:rPr>
            <w:webHidden/>
          </w:rPr>
          <w:fldChar w:fldCharType="begin"/>
        </w:r>
        <w:r w:rsidR="00C803B2">
          <w:rPr>
            <w:webHidden/>
          </w:rPr>
          <w:instrText xml:space="preserve"> PAGEREF _Toc492973379 \h </w:instrText>
        </w:r>
        <w:r w:rsidR="00C803B2">
          <w:rPr>
            <w:webHidden/>
          </w:rPr>
        </w:r>
        <w:r w:rsidR="00C803B2">
          <w:rPr>
            <w:webHidden/>
          </w:rPr>
          <w:fldChar w:fldCharType="separate"/>
        </w:r>
        <w:r w:rsidR="00C803B2">
          <w:rPr>
            <w:webHidden/>
          </w:rPr>
          <w:t>11</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80" w:history="1">
        <w:r w:rsidR="00C803B2" w:rsidRPr="006A47F5">
          <w:rPr>
            <w:rStyle w:val="Hyperlink"/>
          </w:rPr>
          <w:t>Part D: Commonwealth funding contribution</w:t>
        </w:r>
        <w:r w:rsidR="00C803B2">
          <w:rPr>
            <w:webHidden/>
          </w:rPr>
          <w:tab/>
        </w:r>
        <w:r w:rsidR="00C803B2">
          <w:rPr>
            <w:webHidden/>
          </w:rPr>
          <w:fldChar w:fldCharType="begin"/>
        </w:r>
        <w:r w:rsidR="00C803B2">
          <w:rPr>
            <w:webHidden/>
          </w:rPr>
          <w:instrText xml:space="preserve"> PAGEREF _Toc492973380 \h </w:instrText>
        </w:r>
        <w:r w:rsidR="00C803B2">
          <w:rPr>
            <w:webHidden/>
          </w:rPr>
        </w:r>
        <w:r w:rsidR="00C803B2">
          <w:rPr>
            <w:webHidden/>
          </w:rPr>
          <w:fldChar w:fldCharType="separate"/>
        </w:r>
        <w:r w:rsidR="00C803B2">
          <w:rPr>
            <w:webHidden/>
          </w:rPr>
          <w:t>12</w:t>
        </w:r>
        <w:r w:rsidR="00C803B2">
          <w:rPr>
            <w:webHidden/>
          </w:rPr>
          <w:fldChar w:fldCharType="end"/>
        </w:r>
      </w:hyperlink>
    </w:p>
    <w:p w:rsidR="00C803B2" w:rsidRDefault="000D71AE">
      <w:pPr>
        <w:pStyle w:val="TOC1"/>
        <w:rPr>
          <w:rFonts w:asciiTheme="minorHAnsi" w:eastAsiaTheme="minorEastAsia" w:hAnsiTheme="minorHAnsi" w:cstheme="minorBidi"/>
          <w:b w:val="0"/>
          <w:sz w:val="22"/>
          <w:szCs w:val="22"/>
          <w:lang w:eastAsia="en-AU"/>
        </w:rPr>
      </w:pPr>
      <w:hyperlink w:anchor="_Toc492973381" w:history="1">
        <w:r w:rsidR="00C803B2" w:rsidRPr="006A47F5">
          <w:rPr>
            <w:rStyle w:val="Hyperlink"/>
          </w:rPr>
          <w:t>Accountability and funding requirements</w:t>
        </w:r>
        <w:r w:rsidR="00C803B2">
          <w:rPr>
            <w:webHidden/>
          </w:rPr>
          <w:tab/>
        </w:r>
        <w:r w:rsidR="00C803B2">
          <w:rPr>
            <w:webHidden/>
          </w:rPr>
          <w:fldChar w:fldCharType="begin"/>
        </w:r>
        <w:r w:rsidR="00C803B2">
          <w:rPr>
            <w:webHidden/>
          </w:rPr>
          <w:instrText xml:space="preserve"> PAGEREF _Toc492973381 \h </w:instrText>
        </w:r>
        <w:r w:rsidR="00C803B2">
          <w:rPr>
            <w:webHidden/>
          </w:rPr>
        </w:r>
        <w:r w:rsidR="00C803B2">
          <w:rPr>
            <w:webHidden/>
          </w:rPr>
          <w:fldChar w:fldCharType="separate"/>
        </w:r>
        <w:r w:rsidR="00C803B2">
          <w:rPr>
            <w:webHidden/>
          </w:rPr>
          <w:t>14</w:t>
        </w:r>
        <w:r w:rsidR="00C803B2">
          <w:rPr>
            <w:webHidden/>
          </w:rPr>
          <w:fldChar w:fldCharType="end"/>
        </w:r>
      </w:hyperlink>
    </w:p>
    <w:p w:rsidR="00AC0C3B" w:rsidRPr="003072C6" w:rsidRDefault="00F578EA" w:rsidP="00FE1CF5">
      <w:pPr>
        <w:pStyle w:val="TOC2"/>
        <w:tabs>
          <w:tab w:val="left" w:pos="9072"/>
        </w:tabs>
      </w:pPr>
      <w:r>
        <w:rPr>
          <w:b/>
          <w:noProof w:val="0"/>
        </w:rPr>
        <w:fldChar w:fldCharType="end"/>
      </w:r>
    </w:p>
    <w:p w:rsidR="00AC0C3B" w:rsidRPr="003072C6" w:rsidRDefault="00AC0C3B" w:rsidP="00E91933">
      <w:pPr>
        <w:pStyle w:val="DHHSbody"/>
        <w:sectPr w:rsidR="00AC0C3B" w:rsidRPr="003072C6" w:rsidSect="009F4BE9">
          <w:footerReference w:type="default" r:id="rId13"/>
          <w:pgSz w:w="11906" w:h="16838"/>
          <w:pgMar w:top="993" w:right="1304" w:bottom="1134" w:left="1276" w:header="454" w:footer="567" w:gutter="0"/>
          <w:pgNumType w:fmt="lowerRoman"/>
          <w:cols w:space="720"/>
          <w:docGrid w:linePitch="360"/>
        </w:sectPr>
      </w:pPr>
    </w:p>
    <w:p w:rsidR="00920FD5" w:rsidRDefault="00920FD5" w:rsidP="00582A7B">
      <w:pPr>
        <w:pStyle w:val="Heading1"/>
        <w:ind w:left="426" w:right="848"/>
        <w:rPr>
          <w:color w:val="7030A0"/>
        </w:rPr>
      </w:pPr>
      <w:bookmarkStart w:id="1" w:name="_Toc491256437"/>
      <w:bookmarkStart w:id="2" w:name="_Toc491257344"/>
      <w:bookmarkStart w:id="3" w:name="_Toc492973370"/>
      <w:r w:rsidRPr="00C62E65">
        <w:rPr>
          <w:color w:val="7030A0"/>
        </w:rPr>
        <w:t>Background</w:t>
      </w:r>
      <w:bookmarkEnd w:id="1"/>
      <w:bookmarkEnd w:id="2"/>
      <w:bookmarkEnd w:id="3"/>
      <w:r w:rsidRPr="00C62E65">
        <w:rPr>
          <w:color w:val="7030A0"/>
        </w:rPr>
        <w:t xml:space="preserve"> </w:t>
      </w:r>
    </w:p>
    <w:p w:rsidR="00C0255A" w:rsidRDefault="00C0255A" w:rsidP="0079240B">
      <w:pPr>
        <w:pStyle w:val="DHHSbody"/>
        <w:tabs>
          <w:tab w:val="left" w:pos="9923"/>
        </w:tabs>
        <w:ind w:left="426" w:right="565"/>
        <w:jc w:val="both"/>
      </w:pPr>
      <w:r>
        <w:t xml:space="preserve">Statements of Priorities are key accountability agreements between Government and Victorian publicly funded health, mental health and ambulance services. The content and process for preparation and agreement of the annual Statement of Priorities is consistent with sections </w:t>
      </w:r>
      <w:r w:rsidRPr="00D6316B">
        <w:t>65ZFA, 65ZFB and section 26</w:t>
      </w:r>
      <w:r>
        <w:t xml:space="preserve"> of the </w:t>
      </w:r>
      <w:r w:rsidRPr="00842D75">
        <w:rPr>
          <w:i/>
        </w:rPr>
        <w:t>Health Services Act 1988</w:t>
      </w:r>
      <w:r>
        <w:rPr>
          <w:i/>
        </w:rPr>
        <w:t xml:space="preserve">.  </w:t>
      </w:r>
    </w:p>
    <w:p w:rsidR="00C0255A" w:rsidRDefault="00C0255A" w:rsidP="00BB1968">
      <w:pPr>
        <w:pStyle w:val="DHHSbody"/>
        <w:ind w:left="426" w:right="565"/>
        <w:jc w:val="both"/>
      </w:pPr>
      <w:r>
        <w:t>Statements of Priorities are consistent with the health services’ strategic plans and aligned to government policy directions and priorities. The annual agreements support the delivery of</w:t>
      </w:r>
      <w:r w:rsidR="00B230A0">
        <w:t>,</w:t>
      </w:r>
      <w:r>
        <w:t xml:space="preserve"> or substantial progress towards the key shared objectives of quality and safety, good governance and leadership, access and timeliness, and financial sustainability. </w:t>
      </w:r>
    </w:p>
    <w:p w:rsidR="00C0255A" w:rsidRDefault="00C0255A" w:rsidP="00BB1968">
      <w:pPr>
        <w:pStyle w:val="DHHSbody"/>
        <w:ind w:left="426" w:right="565"/>
        <w:jc w:val="both"/>
      </w:pPr>
      <w:r>
        <w:t>A Statement of Priorities consists of four parts:</w:t>
      </w:r>
    </w:p>
    <w:p w:rsidR="00C0255A" w:rsidRDefault="00C0255A" w:rsidP="00BB1968">
      <w:pPr>
        <w:pStyle w:val="DHHSbullet1lastline"/>
        <w:ind w:left="709" w:right="565" w:hanging="283"/>
        <w:jc w:val="both"/>
      </w:pPr>
      <w:r>
        <w:t>Part A provides an overview of the service profile, strategic priorities and deliverables the health service will achieve in the year ahead.</w:t>
      </w:r>
    </w:p>
    <w:p w:rsidR="00C0255A" w:rsidRDefault="00C0255A" w:rsidP="00BB1968">
      <w:pPr>
        <w:pStyle w:val="DHHSbullet1lastline"/>
        <w:ind w:left="426" w:right="565" w:firstLine="0"/>
        <w:jc w:val="both"/>
      </w:pPr>
      <w:r>
        <w:t>Part B lists the performance priorities and agreed targets.</w:t>
      </w:r>
    </w:p>
    <w:p w:rsidR="00C0255A" w:rsidRDefault="00C0255A" w:rsidP="00BB1968">
      <w:pPr>
        <w:pStyle w:val="DHHSbullet1lastline"/>
        <w:ind w:left="426" w:right="565" w:firstLine="0"/>
        <w:jc w:val="both"/>
      </w:pPr>
      <w:r>
        <w:t>Part C lists funding and associated activity.</w:t>
      </w:r>
    </w:p>
    <w:p w:rsidR="00C0255A" w:rsidRDefault="00C0255A" w:rsidP="00854386">
      <w:pPr>
        <w:pStyle w:val="DHHSbullet1lastline"/>
        <w:ind w:left="709" w:right="565" w:hanging="283"/>
        <w:jc w:val="both"/>
      </w:pPr>
      <w:r>
        <w:t>Part D forms the service agreement between each health service and the state of Victoria for the purposes of the National Health Reform Agreement.</w:t>
      </w:r>
    </w:p>
    <w:p w:rsidR="00C0255A" w:rsidRDefault="00C0255A" w:rsidP="00BB1968">
      <w:pPr>
        <w:pStyle w:val="DHHSbody"/>
        <w:ind w:left="426" w:right="565"/>
        <w:jc w:val="both"/>
        <w:rPr>
          <w:lang w:eastAsia="en-AU"/>
        </w:rPr>
      </w:pPr>
      <w:r>
        <w:rPr>
          <w:lang w:eastAsia="en-AU"/>
        </w:rPr>
        <w:t>P</w:t>
      </w:r>
      <w:r w:rsidRPr="005B253F">
        <w:rPr>
          <w:lang w:eastAsia="en-AU"/>
        </w:rPr>
        <w:t xml:space="preserve">erformance expectations and mechanisms </w:t>
      </w:r>
      <w:r>
        <w:rPr>
          <w:lang w:eastAsia="en-AU"/>
        </w:rPr>
        <w:t xml:space="preserve">used by the Department of Health and Human Services to monitor and manage performance are described in the </w:t>
      </w:r>
      <w:r w:rsidRPr="004F7528">
        <w:rPr>
          <w:i/>
          <w:lang w:eastAsia="en-AU"/>
        </w:rPr>
        <w:t>Victorian Health Service Performance</w:t>
      </w:r>
      <w:r>
        <w:rPr>
          <w:i/>
          <w:lang w:eastAsia="en-AU"/>
        </w:rPr>
        <w:t xml:space="preserve"> Monitoring</w:t>
      </w:r>
      <w:r w:rsidRPr="004F7528">
        <w:rPr>
          <w:i/>
          <w:lang w:eastAsia="en-AU"/>
        </w:rPr>
        <w:t xml:space="preserve"> </w:t>
      </w:r>
      <w:r w:rsidRPr="00B43614">
        <w:rPr>
          <w:i/>
          <w:lang w:eastAsia="en-AU"/>
        </w:rPr>
        <w:t>Framework</w:t>
      </w:r>
      <w:r>
        <w:rPr>
          <w:i/>
          <w:lang w:eastAsia="en-AU"/>
        </w:rPr>
        <w:t xml:space="preserve"> 2017-18</w:t>
      </w:r>
      <w:r>
        <w:rPr>
          <w:lang w:eastAsia="en-AU"/>
        </w:rPr>
        <w:t xml:space="preserve">.  </w:t>
      </w:r>
    </w:p>
    <w:p w:rsidR="00C0255A" w:rsidRDefault="00C0255A" w:rsidP="00BB1968">
      <w:pPr>
        <w:pStyle w:val="DHHSbody"/>
        <w:ind w:left="426" w:right="565"/>
        <w:jc w:val="both"/>
      </w:pPr>
      <w:r>
        <w:t xml:space="preserve">High standards of governance, transparency and accountability are essential. In this context, the Victorian Government commits to publish Statements of Priorities by 1 November each year and place more data about the performance of our health system into the public domain. </w:t>
      </w:r>
    </w:p>
    <w:p w:rsidR="00C0255A" w:rsidRPr="00C0255A" w:rsidRDefault="00C0255A" w:rsidP="00266AAD">
      <w:pPr>
        <w:pStyle w:val="DHHSbody"/>
        <w:tabs>
          <w:tab w:val="left" w:pos="426"/>
        </w:tabs>
        <w:ind w:right="848"/>
      </w:pPr>
    </w:p>
    <w:p w:rsidR="00C0255A" w:rsidRPr="00B371C9" w:rsidRDefault="00C0255A" w:rsidP="00582A7B">
      <w:pPr>
        <w:pStyle w:val="Heading1"/>
        <w:ind w:left="426" w:right="848"/>
        <w:rPr>
          <w:color w:val="7030A0"/>
        </w:rPr>
      </w:pPr>
      <w:bookmarkStart w:id="4" w:name="_Toc482970263"/>
      <w:bookmarkStart w:id="5" w:name="_Toc490836831"/>
      <w:bookmarkStart w:id="6" w:name="_Toc491256438"/>
      <w:bookmarkStart w:id="7" w:name="_Toc491257345"/>
      <w:bookmarkStart w:id="8" w:name="_Toc492973371"/>
      <w:r w:rsidRPr="00B371C9">
        <w:rPr>
          <w:color w:val="7030A0"/>
        </w:rPr>
        <w:t>Strategic priorities</w:t>
      </w:r>
      <w:bookmarkEnd w:id="4"/>
      <w:bookmarkEnd w:id="5"/>
      <w:bookmarkEnd w:id="6"/>
      <w:bookmarkEnd w:id="7"/>
      <w:bookmarkEnd w:id="8"/>
    </w:p>
    <w:p w:rsidR="00C0255A" w:rsidRDefault="00C0255A" w:rsidP="00BB1968">
      <w:pPr>
        <w:pStyle w:val="DHHSbody"/>
        <w:tabs>
          <w:tab w:val="left" w:pos="9639"/>
          <w:tab w:val="left" w:pos="9781"/>
        </w:tabs>
        <w:ind w:left="426" w:right="565"/>
        <w:jc w:val="both"/>
      </w:pPr>
      <w:r w:rsidRPr="00CC3A2B">
        <w:t>The Victorian Government is responsible for ensuring that a wide range of health services are delive</w:t>
      </w:r>
      <w:r>
        <w:t xml:space="preserve">red to the Victorian community. </w:t>
      </w:r>
      <w:r w:rsidRPr="00CC3A2B">
        <w:t>The Department of H</w:t>
      </w:r>
      <w:r>
        <w:t>ealth and Human Services (the department</w:t>
      </w:r>
      <w:r w:rsidR="00B230A0">
        <w:t>)</w:t>
      </w:r>
      <w:r w:rsidRPr="00CC3A2B">
        <w:t xml:space="preserve"> develops policy, fun</w:t>
      </w:r>
      <w:r>
        <w:t>ds and regulates health service</w:t>
      </w:r>
      <w:r w:rsidRPr="00CC3A2B">
        <w:t>s and activities that promote and protect the hea</w:t>
      </w:r>
      <w:r>
        <w:t>lth of Victorians. Through the d</w:t>
      </w:r>
      <w:r w:rsidRPr="00CC3A2B">
        <w:t>epartment, the government funds more than 500 organisations to provide various health services to Victorians.</w:t>
      </w:r>
    </w:p>
    <w:p w:rsidR="00C0255A" w:rsidRPr="00954C20" w:rsidRDefault="00C0255A" w:rsidP="00BB1968">
      <w:pPr>
        <w:pStyle w:val="Heading2"/>
        <w:tabs>
          <w:tab w:val="left" w:pos="9781"/>
        </w:tabs>
        <w:ind w:left="426" w:right="565"/>
        <w:jc w:val="both"/>
        <w:rPr>
          <w:color w:val="7030A0"/>
        </w:rPr>
      </w:pPr>
      <w:bookmarkStart w:id="9" w:name="_Toc482970264"/>
      <w:bookmarkStart w:id="10" w:name="_Toc490836832"/>
      <w:bookmarkStart w:id="11" w:name="_Toc491256439"/>
      <w:bookmarkStart w:id="12" w:name="_Toc491257346"/>
      <w:bookmarkStart w:id="13" w:name="_Toc492973372"/>
      <w:r w:rsidRPr="00954C20">
        <w:rPr>
          <w:color w:val="7030A0"/>
        </w:rPr>
        <w:t>Government commitments</w:t>
      </w:r>
      <w:bookmarkEnd w:id="9"/>
      <w:bookmarkEnd w:id="10"/>
      <w:bookmarkEnd w:id="11"/>
      <w:bookmarkEnd w:id="12"/>
      <w:bookmarkEnd w:id="13"/>
    </w:p>
    <w:p w:rsidR="00C0255A" w:rsidRPr="00E42BC7" w:rsidRDefault="00C0255A" w:rsidP="00BB1968">
      <w:pPr>
        <w:pStyle w:val="DHHSbody"/>
        <w:tabs>
          <w:tab w:val="left" w:pos="9639"/>
          <w:tab w:val="left" w:pos="9781"/>
        </w:tabs>
        <w:ind w:left="426" w:right="565"/>
        <w:jc w:val="both"/>
      </w:pPr>
      <w:r w:rsidRPr="00C276C4">
        <w:rPr>
          <w:rFonts w:cs="Calibri"/>
          <w:lang w:eastAsia="en-AU"/>
        </w:rPr>
        <w:t xml:space="preserve">The </w:t>
      </w:r>
      <w:r w:rsidRPr="008B20FA">
        <w:rPr>
          <w:rFonts w:cs="Calibri"/>
          <w:i/>
          <w:lang w:eastAsia="en-AU"/>
        </w:rPr>
        <w:t>Victorian Budget 2017–18</w:t>
      </w:r>
      <w:r w:rsidRPr="00C276C4">
        <w:rPr>
          <w:rFonts w:cs="Calibri"/>
          <w:lang w:eastAsia="en-AU"/>
        </w:rPr>
        <w:t xml:space="preserve"> provides </w:t>
      </w:r>
      <w:r>
        <w:rPr>
          <w:rFonts w:cs="Calibri"/>
          <w:lang w:eastAsia="en-AU"/>
        </w:rPr>
        <w:t xml:space="preserve">an extra $1.67 billion over four years </w:t>
      </w:r>
      <w:r w:rsidRPr="00C276C4">
        <w:rPr>
          <w:rFonts w:cs="Calibri"/>
          <w:lang w:eastAsia="en-AU"/>
        </w:rPr>
        <w:t>for health, mental health and aged care services</w:t>
      </w:r>
      <w:r w:rsidRPr="00E42BC7">
        <w:t xml:space="preserve"> across </w:t>
      </w:r>
      <w:r>
        <w:t>Victoria</w:t>
      </w:r>
      <w:r w:rsidRPr="00E42BC7">
        <w:t>, including:</w:t>
      </w:r>
    </w:p>
    <w:p w:rsidR="00C0255A" w:rsidRDefault="00C0255A" w:rsidP="00BB1968">
      <w:pPr>
        <w:pStyle w:val="DHHSbullet1"/>
        <w:tabs>
          <w:tab w:val="left" w:pos="9781"/>
        </w:tabs>
        <w:ind w:left="709" w:right="565" w:hanging="283"/>
        <w:jc w:val="both"/>
      </w:pPr>
      <w:r w:rsidRPr="007B0C72">
        <w:t>$1.3 billion over four years from 2017</w:t>
      </w:r>
      <w:r>
        <w:t>-</w:t>
      </w:r>
      <w:r w:rsidRPr="007B0C72">
        <w:t>18 to respond to growing patient demand acro</w:t>
      </w:r>
      <w:r w:rsidRPr="00C62D83">
        <w:t>ss Victoria</w:t>
      </w:r>
      <w:r w:rsidR="00B230A0">
        <w:t>.</w:t>
      </w:r>
    </w:p>
    <w:p w:rsidR="00BB1968" w:rsidRDefault="00C0255A" w:rsidP="00BB1968">
      <w:pPr>
        <w:pStyle w:val="DHHSbullet1"/>
        <w:tabs>
          <w:tab w:val="left" w:pos="9781"/>
        </w:tabs>
        <w:ind w:left="709" w:right="565" w:hanging="283"/>
        <w:jc w:val="both"/>
      </w:pPr>
      <w:r>
        <w:rPr>
          <w:rFonts w:cs="Calibri"/>
          <w:lang w:eastAsia="en-AU"/>
        </w:rPr>
        <w:t xml:space="preserve">$325.7 million over four years for </w:t>
      </w:r>
      <w:r w:rsidRPr="008B20FA">
        <w:rPr>
          <w:rFonts w:cs="Calibri"/>
          <w:lang w:eastAsia="en-AU"/>
        </w:rPr>
        <w:t>mental health and invest</w:t>
      </w:r>
      <w:r w:rsidR="00BF4334">
        <w:rPr>
          <w:rFonts w:cs="Calibri"/>
          <w:lang w:eastAsia="en-AU"/>
        </w:rPr>
        <w:t>ment</w:t>
      </w:r>
      <w:r w:rsidRPr="008B20FA">
        <w:rPr>
          <w:rFonts w:cs="Calibri"/>
          <w:lang w:eastAsia="en-AU"/>
        </w:rPr>
        <w:t xml:space="preserve"> in forensic mental health services</w:t>
      </w:r>
      <w:r w:rsidR="00B230A0">
        <w:rPr>
          <w:rFonts w:cs="Calibri"/>
          <w:lang w:eastAsia="en-AU"/>
        </w:rPr>
        <w:t>.</w:t>
      </w:r>
      <w:r w:rsidRPr="008B20FA">
        <w:rPr>
          <w:rFonts w:cs="Calibri"/>
          <w:lang w:eastAsia="en-AU"/>
        </w:rPr>
        <w:t xml:space="preserve"> </w:t>
      </w:r>
    </w:p>
    <w:p w:rsidR="00C0255A" w:rsidRDefault="00BB1968" w:rsidP="00C803B2">
      <w:pPr>
        <w:pStyle w:val="DHHSbullet1"/>
        <w:tabs>
          <w:tab w:val="left" w:pos="9781"/>
        </w:tabs>
        <w:ind w:left="709" w:right="567"/>
        <w:jc w:val="both"/>
      </w:pPr>
      <w:r>
        <w:t>$</w:t>
      </w:r>
      <w:r w:rsidR="00C0255A" w:rsidRPr="00C62D83">
        <w:t>319.8 million over four years from 2017</w:t>
      </w:r>
      <w:r w:rsidR="00C0255A">
        <w:t>-</w:t>
      </w:r>
      <w:r w:rsidR="00C0255A" w:rsidRPr="00C62D83">
        <w:t>18 to provide additional elective surgery funding</w:t>
      </w:r>
      <w:r w:rsidR="00B230A0">
        <w:t>.</w:t>
      </w:r>
    </w:p>
    <w:p w:rsidR="00C0255A" w:rsidRDefault="00C0255A" w:rsidP="00C803B2">
      <w:pPr>
        <w:pStyle w:val="DHHSbullet1lastline"/>
        <w:tabs>
          <w:tab w:val="left" w:pos="709"/>
          <w:tab w:val="left" w:pos="9781"/>
        </w:tabs>
        <w:spacing w:after="40"/>
        <w:ind w:left="709" w:right="567"/>
        <w:jc w:val="both"/>
      </w:pPr>
      <w:r w:rsidRPr="00C62D83">
        <w:t xml:space="preserve">$215.1 million over five years from 2016–17 to implement the recommendations of </w:t>
      </w:r>
      <w:r w:rsidRPr="00E91B0D">
        <w:rPr>
          <w:i/>
        </w:rPr>
        <w:t>Targeting zero</w:t>
      </w:r>
      <w:r>
        <w:t xml:space="preserve"> to put patient safety first</w:t>
      </w:r>
      <w:r w:rsidR="00B230A0">
        <w:t>.</w:t>
      </w:r>
    </w:p>
    <w:p w:rsidR="00C0255A" w:rsidRPr="00E42BC7" w:rsidRDefault="00C0255A" w:rsidP="00BB1968">
      <w:pPr>
        <w:pStyle w:val="DHHSbullet1lastline"/>
        <w:tabs>
          <w:tab w:val="left" w:pos="9781"/>
        </w:tabs>
        <w:ind w:left="709" w:right="565" w:hanging="283"/>
        <w:jc w:val="both"/>
      </w:pPr>
      <w:r>
        <w:t>Building on the investment of $526 million in November 2016, a further $26.5 million will help ambulances respond to every emergency even sooner</w:t>
      </w:r>
      <w:r w:rsidR="00B230A0">
        <w:t>.</w:t>
      </w:r>
    </w:p>
    <w:p w:rsidR="00C0255A" w:rsidRDefault="00C0255A" w:rsidP="00BB1968">
      <w:pPr>
        <w:pStyle w:val="DHHSbody"/>
        <w:tabs>
          <w:tab w:val="left" w:pos="9781"/>
        </w:tabs>
        <w:ind w:left="426" w:right="565"/>
        <w:jc w:val="both"/>
      </w:pPr>
      <w:r w:rsidRPr="00E42BC7">
        <w:t>To support this investment, the Andrews Labor Government is funding capital projects worth $428.5 million across Victoria</w:t>
      </w:r>
      <w:r>
        <w:t xml:space="preserve">. </w:t>
      </w:r>
    </w:p>
    <w:p w:rsidR="00C0255A" w:rsidRPr="00E42BC7" w:rsidRDefault="00C0255A" w:rsidP="00BB1968">
      <w:pPr>
        <w:pStyle w:val="DHHSbody"/>
        <w:tabs>
          <w:tab w:val="left" w:pos="9781"/>
        </w:tabs>
        <w:ind w:left="426" w:right="565"/>
        <w:jc w:val="both"/>
      </w:pPr>
      <w:r w:rsidRPr="00E42BC7">
        <w:t xml:space="preserve">This investment will support the implementation of </w:t>
      </w:r>
      <w:r w:rsidRPr="00D57D8B">
        <w:rPr>
          <w:i/>
        </w:rPr>
        <w:t>Health 2040: advancing health, access and care</w:t>
      </w:r>
      <w:r w:rsidRPr="00E42BC7">
        <w:t xml:space="preserve"> - which presents a clear vision for the health and wellbeing of Victorians and for the Victorian healthcare system.</w:t>
      </w:r>
    </w:p>
    <w:p w:rsidR="00920FD5" w:rsidRDefault="00920FD5" w:rsidP="00582A7B">
      <w:pPr>
        <w:pStyle w:val="Heading1"/>
        <w:ind w:left="426" w:right="848"/>
        <w:rPr>
          <w:color w:val="7030A0"/>
        </w:rPr>
      </w:pPr>
      <w:bookmarkStart w:id="14" w:name="_Toc491256440"/>
      <w:bookmarkStart w:id="15" w:name="_Toc491257347"/>
      <w:bookmarkStart w:id="16" w:name="_Toc492973373"/>
      <w:r w:rsidRPr="00C62E65">
        <w:rPr>
          <w:color w:val="7030A0"/>
        </w:rPr>
        <w:t>Part A: Strategic overview</w:t>
      </w:r>
      <w:bookmarkEnd w:id="14"/>
      <w:bookmarkEnd w:id="15"/>
      <w:bookmarkEnd w:id="16"/>
      <w:r w:rsidRPr="00C62E65">
        <w:rPr>
          <w:color w:val="7030A0"/>
        </w:rPr>
        <w:t xml:space="preserve"> </w:t>
      </w:r>
    </w:p>
    <w:p w:rsidR="00C0255A" w:rsidRPr="00F14878" w:rsidRDefault="00C0255A" w:rsidP="00BB1968">
      <w:pPr>
        <w:pStyle w:val="Heading2"/>
        <w:tabs>
          <w:tab w:val="left" w:pos="9639"/>
        </w:tabs>
        <w:ind w:left="426" w:right="848"/>
        <w:jc w:val="both"/>
        <w:rPr>
          <w:color w:val="7030A0"/>
        </w:rPr>
      </w:pPr>
      <w:bookmarkStart w:id="17" w:name="_Toc490836834"/>
      <w:bookmarkStart w:id="18" w:name="_Toc491256441"/>
      <w:bookmarkStart w:id="19" w:name="_Toc491257348"/>
      <w:bookmarkStart w:id="20" w:name="_Toc492973374"/>
      <w:r w:rsidRPr="00F14878">
        <w:rPr>
          <w:color w:val="7030A0"/>
        </w:rPr>
        <w:t>Mission statement</w:t>
      </w:r>
      <w:bookmarkEnd w:id="17"/>
      <w:bookmarkEnd w:id="18"/>
      <w:bookmarkEnd w:id="19"/>
      <w:bookmarkEnd w:id="20"/>
    </w:p>
    <w:p w:rsidR="000838D7" w:rsidRDefault="000838D7" w:rsidP="000838D7">
      <w:pPr>
        <w:pStyle w:val="DHHStabletext"/>
        <w:ind w:left="426"/>
      </w:pPr>
      <w:r w:rsidRPr="00992EB9">
        <w:t>Building community health and wellbeing</w:t>
      </w:r>
      <w:r>
        <w:t>.</w:t>
      </w:r>
    </w:p>
    <w:p w:rsidR="00C0255A" w:rsidRDefault="00C0255A" w:rsidP="00C803B2">
      <w:pPr>
        <w:pStyle w:val="DHHSbody"/>
        <w:tabs>
          <w:tab w:val="left" w:pos="3328"/>
          <w:tab w:val="left" w:pos="9639"/>
        </w:tabs>
        <w:ind w:right="848"/>
        <w:jc w:val="both"/>
      </w:pPr>
    </w:p>
    <w:p w:rsidR="00C0255A" w:rsidRPr="00B371C9" w:rsidRDefault="00C0255A" w:rsidP="00BB1968">
      <w:pPr>
        <w:pStyle w:val="Heading2"/>
        <w:tabs>
          <w:tab w:val="left" w:pos="9639"/>
        </w:tabs>
        <w:ind w:left="426" w:right="848"/>
        <w:jc w:val="both"/>
        <w:rPr>
          <w:color w:val="7030A0"/>
        </w:rPr>
      </w:pPr>
      <w:bookmarkStart w:id="21" w:name="_Toc482970270"/>
      <w:bookmarkStart w:id="22" w:name="_Toc490836835"/>
      <w:bookmarkStart w:id="23" w:name="_Toc491256442"/>
      <w:bookmarkStart w:id="24" w:name="_Toc491257349"/>
      <w:bookmarkStart w:id="25" w:name="_Toc492973375"/>
      <w:r w:rsidRPr="00B371C9">
        <w:rPr>
          <w:color w:val="7030A0"/>
        </w:rPr>
        <w:t>Service profile</w:t>
      </w:r>
      <w:bookmarkEnd w:id="21"/>
      <w:bookmarkEnd w:id="22"/>
      <w:bookmarkEnd w:id="23"/>
      <w:bookmarkEnd w:id="24"/>
      <w:bookmarkEnd w:id="25"/>
    </w:p>
    <w:p w:rsidR="000838D7" w:rsidRPr="00992EB9" w:rsidRDefault="000838D7" w:rsidP="00C803B2">
      <w:pPr>
        <w:pStyle w:val="DHHStabletext"/>
        <w:numPr>
          <w:ilvl w:val="0"/>
          <w:numId w:val="22"/>
        </w:numPr>
        <w:ind w:left="426" w:firstLine="0"/>
      </w:pPr>
      <w:r w:rsidRPr="00992EB9">
        <w:t>High Care Residential Aged Care</w:t>
      </w:r>
    </w:p>
    <w:p w:rsidR="000838D7" w:rsidRPr="00992EB9" w:rsidRDefault="000838D7" w:rsidP="00C803B2">
      <w:pPr>
        <w:pStyle w:val="DHHStabletext"/>
        <w:numPr>
          <w:ilvl w:val="0"/>
          <w:numId w:val="22"/>
        </w:numPr>
        <w:ind w:left="426" w:firstLine="0"/>
      </w:pPr>
      <w:r w:rsidRPr="00992EB9">
        <w:t>Low Care Residential Aged Care</w:t>
      </w:r>
    </w:p>
    <w:p w:rsidR="000838D7" w:rsidRPr="00992EB9" w:rsidRDefault="000838D7" w:rsidP="00C803B2">
      <w:pPr>
        <w:pStyle w:val="DHHStabletext"/>
        <w:numPr>
          <w:ilvl w:val="0"/>
          <w:numId w:val="22"/>
        </w:numPr>
        <w:ind w:left="426" w:firstLine="0"/>
      </w:pPr>
      <w:r w:rsidRPr="00992EB9">
        <w:t>In-patient acute beds (low acuity)</w:t>
      </w:r>
    </w:p>
    <w:p w:rsidR="000838D7" w:rsidRPr="00992EB9" w:rsidRDefault="000838D7" w:rsidP="00C803B2">
      <w:pPr>
        <w:pStyle w:val="DHHStabletext"/>
        <w:numPr>
          <w:ilvl w:val="0"/>
          <w:numId w:val="22"/>
        </w:numPr>
        <w:ind w:left="426" w:firstLine="0"/>
      </w:pPr>
      <w:r w:rsidRPr="00992EB9">
        <w:t>Seven days a week District Nursing</w:t>
      </w:r>
    </w:p>
    <w:p w:rsidR="000838D7" w:rsidRPr="00992EB9" w:rsidRDefault="00C803B2" w:rsidP="00C803B2">
      <w:pPr>
        <w:pStyle w:val="DHHStabletext"/>
        <w:numPr>
          <w:ilvl w:val="0"/>
          <w:numId w:val="22"/>
        </w:numPr>
        <w:ind w:left="426" w:firstLine="0"/>
      </w:pPr>
      <w:r>
        <w:t>Planned Activity Groups</w:t>
      </w:r>
      <w:r w:rsidR="000838D7" w:rsidRPr="00992EB9">
        <w:t xml:space="preserve"> and Volunteer Coordination</w:t>
      </w:r>
    </w:p>
    <w:p w:rsidR="000838D7" w:rsidRPr="00992EB9" w:rsidRDefault="000838D7" w:rsidP="00C803B2">
      <w:pPr>
        <w:pStyle w:val="DHHStabletext"/>
        <w:numPr>
          <w:ilvl w:val="0"/>
          <w:numId w:val="22"/>
        </w:numPr>
        <w:ind w:left="426" w:firstLine="0"/>
      </w:pPr>
      <w:r w:rsidRPr="00992EB9">
        <w:t>Community health promotion activities</w:t>
      </w:r>
    </w:p>
    <w:p w:rsidR="00C0255A" w:rsidRPr="00B01E10" w:rsidRDefault="00C0255A" w:rsidP="00C803B2">
      <w:pPr>
        <w:pStyle w:val="DHHSbody"/>
        <w:tabs>
          <w:tab w:val="left" w:pos="9639"/>
        </w:tabs>
        <w:ind w:right="848"/>
        <w:jc w:val="both"/>
      </w:pPr>
    </w:p>
    <w:p w:rsidR="00C0255A" w:rsidRPr="00B371C9" w:rsidRDefault="00C0255A" w:rsidP="00BB1968">
      <w:pPr>
        <w:pStyle w:val="Heading2"/>
        <w:tabs>
          <w:tab w:val="left" w:pos="9639"/>
        </w:tabs>
        <w:ind w:left="426" w:right="848"/>
        <w:jc w:val="both"/>
        <w:rPr>
          <w:color w:val="7030A0"/>
        </w:rPr>
      </w:pPr>
      <w:bookmarkStart w:id="26" w:name="_Toc482970271"/>
      <w:bookmarkStart w:id="27" w:name="_Toc490836836"/>
      <w:bookmarkStart w:id="28" w:name="_Toc491256443"/>
      <w:bookmarkStart w:id="29" w:name="_Toc491257350"/>
      <w:bookmarkStart w:id="30" w:name="_Toc492973376"/>
      <w:r w:rsidRPr="00B371C9">
        <w:rPr>
          <w:color w:val="7030A0"/>
        </w:rPr>
        <w:t>Strategic planning</w:t>
      </w:r>
      <w:bookmarkEnd w:id="26"/>
      <w:bookmarkEnd w:id="27"/>
      <w:bookmarkEnd w:id="28"/>
      <w:bookmarkEnd w:id="29"/>
      <w:bookmarkEnd w:id="30"/>
    </w:p>
    <w:p w:rsidR="000838D7" w:rsidRPr="00FF7C7A" w:rsidRDefault="000838D7" w:rsidP="000838D7">
      <w:pPr>
        <w:pStyle w:val="DHHSbody"/>
        <w:ind w:left="426"/>
      </w:pPr>
      <w:r>
        <w:t xml:space="preserve">Maldon Hospital </w:t>
      </w:r>
      <w:r w:rsidRPr="00642DCB">
        <w:t>Strategic</w:t>
      </w:r>
      <w:r>
        <w:t xml:space="preserve"> Plan 2014-2019</w:t>
      </w:r>
      <w:r w:rsidRPr="00642DCB">
        <w:t xml:space="preserve"> can be read at website:</w:t>
      </w:r>
      <w:r w:rsidRPr="00FF7C7A">
        <w:t xml:space="preserve"> </w:t>
      </w:r>
      <w:hyperlink r:id="rId14" w:history="1">
        <w:r w:rsidRPr="002A2B2C">
          <w:rPr>
            <w:rStyle w:val="Hyperlink"/>
          </w:rPr>
          <w:t>www.maldhosp.vic.gov.au</w:t>
        </w:r>
      </w:hyperlink>
    </w:p>
    <w:p w:rsidR="00980C82" w:rsidRDefault="00980C82" w:rsidP="00266AAD">
      <w:pPr>
        <w:tabs>
          <w:tab w:val="left" w:pos="284"/>
          <w:tab w:val="left" w:pos="567"/>
        </w:tabs>
        <w:ind w:left="142"/>
        <w:rPr>
          <w:rStyle w:val="Hyperlink"/>
          <w:rFonts w:ascii="Arial" w:eastAsia="Times" w:hAnsi="Arial"/>
          <w:color w:val="FF0000"/>
          <w:spacing w:val="-1"/>
          <w:w w:val="105"/>
        </w:rPr>
      </w:pPr>
      <w:r>
        <w:rPr>
          <w:rStyle w:val="Hyperlink"/>
          <w:color w:val="FF0000"/>
          <w:spacing w:val="-1"/>
          <w:w w:val="105"/>
        </w:rPr>
        <w:br w:type="page"/>
      </w:r>
    </w:p>
    <w:p w:rsidR="00980C82" w:rsidRDefault="00B230A0" w:rsidP="004277DD">
      <w:pPr>
        <w:pStyle w:val="DHHSbullet1"/>
        <w:numPr>
          <w:ilvl w:val="0"/>
          <w:numId w:val="0"/>
        </w:numPr>
        <w:ind w:left="426"/>
        <w:jc w:val="both"/>
        <w:rPr>
          <w:color w:val="7030A0"/>
          <w:sz w:val="28"/>
          <w:szCs w:val="28"/>
        </w:rPr>
      </w:pPr>
      <w:bookmarkStart w:id="31" w:name="_Toc490836837"/>
      <w:bookmarkStart w:id="32" w:name="_Toc491170675"/>
      <w:bookmarkStart w:id="33" w:name="_Toc491256444"/>
      <w:bookmarkStart w:id="34" w:name="_Toc491257351"/>
      <w:bookmarkStart w:id="35" w:name="_Toc492973377"/>
      <w:r>
        <w:rPr>
          <w:rStyle w:val="Heading2Char"/>
          <w:color w:val="7030A0"/>
        </w:rPr>
        <w:t>Strategic p</w:t>
      </w:r>
      <w:r w:rsidR="00980C82" w:rsidRPr="00D14FC5">
        <w:rPr>
          <w:rStyle w:val="Heading2Char"/>
          <w:color w:val="7030A0"/>
        </w:rPr>
        <w:t>riorities</w:t>
      </w:r>
      <w:bookmarkEnd w:id="31"/>
      <w:bookmarkEnd w:id="32"/>
      <w:bookmarkEnd w:id="33"/>
      <w:bookmarkEnd w:id="34"/>
      <w:bookmarkEnd w:id="35"/>
    </w:p>
    <w:p w:rsidR="00980C82" w:rsidRDefault="00980C82" w:rsidP="004277DD">
      <w:pPr>
        <w:pStyle w:val="DHHSbullet1"/>
        <w:numPr>
          <w:ilvl w:val="0"/>
          <w:numId w:val="0"/>
        </w:numPr>
        <w:tabs>
          <w:tab w:val="left" w:pos="426"/>
        </w:tabs>
        <w:ind w:left="426"/>
        <w:rPr>
          <w:w w:val="105"/>
        </w:rPr>
      </w:pPr>
      <w:r w:rsidRPr="00DE770E">
        <w:rPr>
          <w:rFonts w:eastAsia="Arial"/>
        </w:rPr>
        <w:t>In</w:t>
      </w:r>
      <w:r w:rsidRPr="00DE770E">
        <w:t xml:space="preserve"> 2017-18 </w:t>
      </w:r>
      <w:r w:rsidR="00E2693B" w:rsidRPr="00E2693B">
        <w:rPr>
          <w:spacing w:val="1"/>
          <w:w w:val="105"/>
        </w:rPr>
        <w:t>Maldon Hospital</w:t>
      </w:r>
      <w:r w:rsidR="00E2693B">
        <w:rPr>
          <w:spacing w:val="1"/>
          <w:w w:val="105"/>
        </w:rPr>
        <w:t xml:space="preserve"> </w:t>
      </w:r>
      <w:r w:rsidRPr="00DE770E">
        <w:rPr>
          <w:w w:val="105"/>
        </w:rPr>
        <w:t>will contribute to the achievement of the</w:t>
      </w:r>
      <w:r w:rsidR="00B230A0">
        <w:rPr>
          <w:w w:val="105"/>
        </w:rPr>
        <w:t xml:space="preserve"> Victorian </w:t>
      </w:r>
      <w:r w:rsidRPr="00DE770E">
        <w:rPr>
          <w:w w:val="105"/>
        </w:rPr>
        <w:t>Government’s commitments by:</w:t>
      </w:r>
    </w:p>
    <w:tbl>
      <w:tblPr>
        <w:tblStyle w:val="TableGrid"/>
        <w:tblW w:w="9355" w:type="dxa"/>
        <w:tblInd w:w="534" w:type="dxa"/>
        <w:tblLook w:val="04A0" w:firstRow="1" w:lastRow="0" w:firstColumn="1" w:lastColumn="0" w:noHBand="0" w:noVBand="1"/>
      </w:tblPr>
      <w:tblGrid>
        <w:gridCol w:w="2693"/>
        <w:gridCol w:w="2835"/>
        <w:gridCol w:w="3827"/>
      </w:tblGrid>
      <w:tr w:rsidR="00980C82" w:rsidRPr="002F5770" w:rsidTr="00630797">
        <w:trPr>
          <w:tblHeader/>
        </w:trPr>
        <w:tc>
          <w:tcPr>
            <w:tcW w:w="2693" w:type="dxa"/>
          </w:tcPr>
          <w:p w:rsidR="00980C82" w:rsidRPr="002F5770" w:rsidRDefault="00980C82" w:rsidP="00FA2D9D">
            <w:pPr>
              <w:pStyle w:val="DHHStablecaption"/>
              <w:spacing w:before="0" w:after="60"/>
              <w:ind w:firstLine="34"/>
              <w:rPr>
                <w:rFonts w:eastAsia="Arial"/>
                <w:color w:val="7030A0"/>
              </w:rPr>
            </w:pPr>
            <w:r w:rsidRPr="002F5770">
              <w:rPr>
                <w:rFonts w:eastAsia="Arial"/>
                <w:color w:val="7030A0"/>
              </w:rPr>
              <w:t>Goals</w:t>
            </w:r>
          </w:p>
        </w:tc>
        <w:tc>
          <w:tcPr>
            <w:tcW w:w="2835" w:type="dxa"/>
          </w:tcPr>
          <w:p w:rsidR="00980C82" w:rsidRPr="002F5770" w:rsidRDefault="00980C82" w:rsidP="00FA2D9D">
            <w:pPr>
              <w:pStyle w:val="DHHStablecaption"/>
              <w:spacing w:before="0" w:after="60"/>
              <w:ind w:firstLine="34"/>
              <w:rPr>
                <w:rFonts w:eastAsia="Arial"/>
                <w:color w:val="7030A0"/>
              </w:rPr>
            </w:pPr>
            <w:r w:rsidRPr="002F5770">
              <w:rPr>
                <w:rFonts w:eastAsia="Arial"/>
                <w:color w:val="7030A0"/>
              </w:rPr>
              <w:t>Strategies</w:t>
            </w:r>
          </w:p>
        </w:tc>
        <w:tc>
          <w:tcPr>
            <w:tcW w:w="3827" w:type="dxa"/>
          </w:tcPr>
          <w:p w:rsidR="00980C82" w:rsidRPr="002F5770" w:rsidRDefault="00980C82" w:rsidP="00630797">
            <w:pPr>
              <w:pStyle w:val="DHHStablecaption"/>
              <w:spacing w:before="0" w:after="60"/>
              <w:ind w:firstLine="34"/>
              <w:rPr>
                <w:rFonts w:eastAsia="Arial"/>
                <w:color w:val="7030A0"/>
              </w:rPr>
            </w:pPr>
            <w:r w:rsidRPr="002F5770">
              <w:rPr>
                <w:rFonts w:eastAsia="Arial"/>
                <w:color w:val="7030A0"/>
              </w:rPr>
              <w:t xml:space="preserve">Health Service </w:t>
            </w:r>
            <w:r>
              <w:rPr>
                <w:rFonts w:eastAsia="Arial"/>
                <w:color w:val="7030A0"/>
              </w:rPr>
              <w:t>Deliverables</w:t>
            </w:r>
          </w:p>
        </w:tc>
      </w:tr>
      <w:tr w:rsidR="00EA11A0" w:rsidRPr="00CC25B3" w:rsidTr="00630797">
        <w:trPr>
          <w:trHeight w:val="923"/>
        </w:trPr>
        <w:tc>
          <w:tcPr>
            <w:tcW w:w="2693" w:type="dxa"/>
            <w:vMerge w:val="restart"/>
          </w:tcPr>
          <w:p w:rsidR="00EA11A0" w:rsidRPr="009A3DCC" w:rsidRDefault="00EA11A0" w:rsidP="00FA2D9D">
            <w:pPr>
              <w:pStyle w:val="DHHSbody"/>
              <w:ind w:firstLine="34"/>
              <w:rPr>
                <w:b/>
              </w:rPr>
            </w:pPr>
            <w:r w:rsidRPr="009A3DCC">
              <w:rPr>
                <w:b/>
              </w:rPr>
              <w:t>Better Health</w:t>
            </w:r>
          </w:p>
          <w:p w:rsidR="00EA11A0" w:rsidRDefault="00EA11A0" w:rsidP="00FA2D9D">
            <w:pPr>
              <w:pStyle w:val="DHHSbody"/>
              <w:ind w:firstLine="34"/>
            </w:pPr>
            <w:r w:rsidRPr="00865980">
              <w:t>A system geared to prevention as much as treatment</w:t>
            </w:r>
          </w:p>
          <w:p w:rsidR="00EA11A0" w:rsidRDefault="00EA11A0" w:rsidP="00FA2D9D">
            <w:pPr>
              <w:pStyle w:val="DHHSbody"/>
              <w:ind w:firstLine="34"/>
            </w:pPr>
          </w:p>
          <w:p w:rsidR="00EA11A0" w:rsidRDefault="00EA11A0" w:rsidP="00FA2D9D">
            <w:pPr>
              <w:pStyle w:val="DHHSbody"/>
              <w:ind w:firstLine="34"/>
            </w:pPr>
            <w:r w:rsidRPr="00296041">
              <w:t>Everyone understand</w:t>
            </w:r>
            <w:r>
              <w:t>s</w:t>
            </w:r>
            <w:r w:rsidRPr="00296041">
              <w:t xml:space="preserve"> their own health and risks</w:t>
            </w:r>
          </w:p>
          <w:p w:rsidR="00EA11A0" w:rsidRPr="00CF1F30" w:rsidRDefault="00EA11A0" w:rsidP="00FA2D9D">
            <w:pPr>
              <w:pStyle w:val="DHHSbody"/>
              <w:ind w:firstLine="34"/>
            </w:pPr>
          </w:p>
          <w:p w:rsidR="00EA11A0" w:rsidRDefault="00EA11A0" w:rsidP="00FA2D9D">
            <w:pPr>
              <w:pStyle w:val="DHHSbody"/>
              <w:ind w:firstLine="34"/>
            </w:pPr>
            <w:r w:rsidRPr="00296041">
              <w:t>Illness is detected and managed early</w:t>
            </w:r>
          </w:p>
          <w:p w:rsidR="00EA11A0" w:rsidRPr="00CF1F30" w:rsidRDefault="00EA11A0" w:rsidP="00FA2D9D">
            <w:pPr>
              <w:pStyle w:val="DHHSbody"/>
              <w:ind w:firstLine="34"/>
            </w:pPr>
          </w:p>
          <w:p w:rsidR="00EA11A0" w:rsidRPr="00CF1F30" w:rsidRDefault="00EA11A0" w:rsidP="00FA2D9D">
            <w:pPr>
              <w:pStyle w:val="DHHSbody"/>
              <w:ind w:firstLine="34"/>
            </w:pPr>
            <w:r w:rsidRPr="00296041">
              <w:t>Healthy neighbo</w:t>
            </w:r>
            <w:r w:rsidR="00A3598D">
              <w:t>u</w:t>
            </w:r>
            <w:r w:rsidRPr="00296041">
              <w:t xml:space="preserve">rhoods and communities encourage healthy lifestyles </w:t>
            </w:r>
          </w:p>
        </w:tc>
        <w:tc>
          <w:tcPr>
            <w:tcW w:w="2835" w:type="dxa"/>
            <w:vMerge w:val="restart"/>
          </w:tcPr>
          <w:p w:rsidR="00EA11A0" w:rsidRPr="009A3DCC" w:rsidRDefault="00EA11A0" w:rsidP="00630797">
            <w:pPr>
              <w:pStyle w:val="DHHSbody"/>
              <w:tabs>
                <w:tab w:val="left" w:pos="2451"/>
              </w:tabs>
              <w:ind w:firstLine="34"/>
              <w:rPr>
                <w:b/>
              </w:rPr>
            </w:pPr>
            <w:r w:rsidRPr="009A3DCC">
              <w:rPr>
                <w:b/>
              </w:rPr>
              <w:t>Better Health</w:t>
            </w:r>
          </w:p>
          <w:p w:rsidR="00EA11A0" w:rsidRDefault="00EA11A0" w:rsidP="00FA2D9D">
            <w:pPr>
              <w:pStyle w:val="DHHSbody"/>
              <w:ind w:firstLine="34"/>
            </w:pPr>
            <w:r>
              <w:t>Reduce statewide r</w:t>
            </w:r>
            <w:r w:rsidRPr="00296041">
              <w:t>isks</w:t>
            </w:r>
          </w:p>
          <w:p w:rsidR="00EA11A0" w:rsidRPr="00CF1F30" w:rsidRDefault="00EA11A0" w:rsidP="00FA2D9D">
            <w:pPr>
              <w:pStyle w:val="DHHSbody"/>
              <w:ind w:firstLine="34"/>
            </w:pPr>
          </w:p>
          <w:p w:rsidR="00EA11A0" w:rsidRDefault="00EA11A0" w:rsidP="00FA2D9D">
            <w:pPr>
              <w:pStyle w:val="DHHSbody"/>
              <w:ind w:firstLine="34"/>
            </w:pPr>
            <w:r>
              <w:t>Build healthy n</w:t>
            </w:r>
            <w:r w:rsidRPr="00296041">
              <w:t>eighbo</w:t>
            </w:r>
            <w:r w:rsidR="00A3598D">
              <w:t>u</w:t>
            </w:r>
            <w:r w:rsidRPr="00296041">
              <w:t>rhoods</w:t>
            </w:r>
          </w:p>
          <w:p w:rsidR="00EA11A0" w:rsidRPr="00CF1F30" w:rsidRDefault="00EA11A0" w:rsidP="00FA2D9D">
            <w:pPr>
              <w:pStyle w:val="DHHSbody"/>
              <w:ind w:firstLine="34"/>
            </w:pPr>
          </w:p>
          <w:p w:rsidR="00EA11A0" w:rsidRDefault="00EA11A0" w:rsidP="00FA2D9D">
            <w:pPr>
              <w:pStyle w:val="DHHSbody"/>
              <w:ind w:firstLine="34"/>
            </w:pPr>
            <w:r w:rsidRPr="00296041">
              <w:t>Help people to stay healthy</w:t>
            </w:r>
          </w:p>
          <w:p w:rsidR="00EA11A0" w:rsidRPr="00CF1F30" w:rsidRDefault="00EA11A0" w:rsidP="00FA2D9D">
            <w:pPr>
              <w:pStyle w:val="DHHSbody"/>
              <w:ind w:firstLine="34"/>
            </w:pPr>
          </w:p>
          <w:p w:rsidR="00EA11A0" w:rsidRDefault="00EA11A0" w:rsidP="00FA2D9D">
            <w:pPr>
              <w:pStyle w:val="DHHSbody"/>
              <w:ind w:firstLine="34"/>
            </w:pPr>
            <w:r w:rsidRPr="00296041">
              <w:t>Target health gaps</w:t>
            </w:r>
          </w:p>
        </w:tc>
        <w:tc>
          <w:tcPr>
            <w:tcW w:w="3827" w:type="dxa"/>
          </w:tcPr>
          <w:p w:rsidR="00EA11A0" w:rsidRPr="00CC25B3" w:rsidRDefault="0010645A" w:rsidP="00C8636D">
            <w:pPr>
              <w:pStyle w:val="DHHSbody"/>
              <w:spacing w:line="240" w:lineRule="auto"/>
              <w:rPr>
                <w:rFonts w:eastAsia="Arial" w:cs="Arial"/>
                <w:color w:val="FF0000"/>
                <w:spacing w:val="-4"/>
                <w:w w:val="105"/>
              </w:rPr>
            </w:pPr>
            <w:r>
              <w:t>Prevent falls by conducting</w:t>
            </w:r>
            <w:r w:rsidR="00EA11A0">
              <w:t xml:space="preserve"> </w:t>
            </w:r>
            <w:r>
              <w:t xml:space="preserve">regular </w:t>
            </w:r>
            <w:r w:rsidR="00EA11A0">
              <w:t>environmental scan</w:t>
            </w:r>
            <w:r>
              <w:t xml:space="preserve">s, analysis </w:t>
            </w:r>
            <w:r w:rsidR="00EA11A0">
              <w:t xml:space="preserve">of falls data and </w:t>
            </w:r>
            <w:r>
              <w:t>i</w:t>
            </w:r>
            <w:r w:rsidR="00C8636D">
              <w:t xml:space="preserve">n depth falls incident reviews </w:t>
            </w:r>
            <w:r w:rsidR="00EA11A0">
              <w:t>to determine preventative strategies.</w:t>
            </w:r>
            <w:r w:rsidR="00EA11A0">
              <w:rPr>
                <w:rFonts w:eastAsia="Arial" w:cs="Arial"/>
                <w:color w:val="FF0000"/>
                <w:spacing w:val="1"/>
                <w:w w:val="105"/>
              </w:rPr>
              <w:t xml:space="preserve"> </w:t>
            </w:r>
          </w:p>
        </w:tc>
      </w:tr>
      <w:tr w:rsidR="00EA11A0" w:rsidRPr="004B0525" w:rsidTr="00630797">
        <w:trPr>
          <w:trHeight w:val="920"/>
        </w:trPr>
        <w:tc>
          <w:tcPr>
            <w:tcW w:w="2693" w:type="dxa"/>
            <w:vMerge/>
          </w:tcPr>
          <w:p w:rsidR="00EA11A0" w:rsidRPr="00296041" w:rsidRDefault="00EA11A0" w:rsidP="00FA2D9D">
            <w:pPr>
              <w:pStyle w:val="DHHSbody"/>
              <w:ind w:firstLine="142"/>
            </w:pPr>
          </w:p>
        </w:tc>
        <w:tc>
          <w:tcPr>
            <w:tcW w:w="2835" w:type="dxa"/>
            <w:vMerge/>
          </w:tcPr>
          <w:p w:rsidR="00EA11A0" w:rsidRDefault="00EA11A0" w:rsidP="00FA2D9D">
            <w:pPr>
              <w:pStyle w:val="DHHSbody"/>
              <w:ind w:firstLine="142"/>
            </w:pPr>
          </w:p>
        </w:tc>
        <w:tc>
          <w:tcPr>
            <w:tcW w:w="3827" w:type="dxa"/>
          </w:tcPr>
          <w:p w:rsidR="00EA11A0" w:rsidRPr="004B0525" w:rsidRDefault="003C697A" w:rsidP="0010645A">
            <w:pPr>
              <w:pStyle w:val="DHHSbody"/>
              <w:spacing w:line="240" w:lineRule="auto"/>
              <w:rPr>
                <w:rFonts w:eastAsia="Arial" w:cs="Arial"/>
                <w:color w:val="FF0000"/>
                <w:spacing w:val="-4"/>
                <w:w w:val="105"/>
              </w:rPr>
            </w:pPr>
            <w:r>
              <w:t xml:space="preserve">Through </w:t>
            </w:r>
            <w:r w:rsidR="00EA11A0">
              <w:t>M</w:t>
            </w:r>
            <w:r>
              <w:t xml:space="preserve">t Alexander Health Alliance, </w:t>
            </w:r>
            <w:r w:rsidR="00EA11A0">
              <w:t>in collaboration with Bendigo Health Mental Health Services</w:t>
            </w:r>
            <w:r>
              <w:t>,</w:t>
            </w:r>
            <w:r w:rsidR="00EA11A0">
              <w:t xml:space="preserve"> identify</w:t>
            </w:r>
            <w:r>
              <w:t xml:space="preserve"> gaps in mental health support</w:t>
            </w:r>
            <w:r w:rsidR="00EA11A0">
              <w:t xml:space="preserve"> services and implement strategies to reduce those gaps.</w:t>
            </w:r>
          </w:p>
        </w:tc>
      </w:tr>
      <w:tr w:rsidR="00EA11A0" w:rsidRPr="004B0525" w:rsidTr="00630797">
        <w:trPr>
          <w:trHeight w:val="920"/>
        </w:trPr>
        <w:tc>
          <w:tcPr>
            <w:tcW w:w="2693" w:type="dxa"/>
            <w:vMerge/>
          </w:tcPr>
          <w:p w:rsidR="00EA11A0" w:rsidRPr="00296041" w:rsidRDefault="00EA11A0" w:rsidP="00FA2D9D">
            <w:pPr>
              <w:pStyle w:val="DHHSbody"/>
              <w:ind w:firstLine="142"/>
            </w:pPr>
          </w:p>
        </w:tc>
        <w:tc>
          <w:tcPr>
            <w:tcW w:w="2835" w:type="dxa"/>
            <w:vMerge/>
          </w:tcPr>
          <w:p w:rsidR="00EA11A0" w:rsidRDefault="00EA11A0" w:rsidP="00FA2D9D">
            <w:pPr>
              <w:pStyle w:val="DHHSbody"/>
              <w:ind w:firstLine="142"/>
            </w:pPr>
          </w:p>
        </w:tc>
        <w:tc>
          <w:tcPr>
            <w:tcW w:w="3827" w:type="dxa"/>
          </w:tcPr>
          <w:p w:rsidR="00EA11A0" w:rsidRPr="00354F7A" w:rsidRDefault="00EA11A0" w:rsidP="00A3598D">
            <w:pPr>
              <w:pStyle w:val="DHHSbody"/>
              <w:spacing w:line="240" w:lineRule="auto"/>
              <w:rPr>
                <w:rFonts w:cs="Arial"/>
              </w:rPr>
            </w:pPr>
            <w:r w:rsidRPr="00A3598D">
              <w:t>Facilitate exercise progra</w:t>
            </w:r>
            <w:r w:rsidR="00FD0AD9">
              <w:t xml:space="preserve">ms for the community to reduced the incidence of </w:t>
            </w:r>
            <w:r w:rsidRPr="00A3598D">
              <w:t>obesity. In partnership with local agencies and services, develop and launch an activity guide for the local community. Maldon Hospital will be the lead agency.</w:t>
            </w:r>
          </w:p>
        </w:tc>
      </w:tr>
      <w:tr w:rsidR="00EA11A0" w:rsidRPr="004B0525" w:rsidTr="00A3598D">
        <w:trPr>
          <w:trHeight w:val="767"/>
        </w:trPr>
        <w:tc>
          <w:tcPr>
            <w:tcW w:w="2693" w:type="dxa"/>
            <w:vMerge/>
          </w:tcPr>
          <w:p w:rsidR="00EA11A0" w:rsidRPr="00296041" w:rsidRDefault="00EA11A0" w:rsidP="00FA2D9D">
            <w:pPr>
              <w:pStyle w:val="DHHSbody"/>
              <w:ind w:firstLine="142"/>
            </w:pPr>
          </w:p>
        </w:tc>
        <w:tc>
          <w:tcPr>
            <w:tcW w:w="2835" w:type="dxa"/>
            <w:vMerge/>
          </w:tcPr>
          <w:p w:rsidR="00EA11A0" w:rsidRDefault="00EA11A0" w:rsidP="00FA2D9D">
            <w:pPr>
              <w:pStyle w:val="DHHSbody"/>
              <w:ind w:firstLine="142"/>
            </w:pPr>
          </w:p>
        </w:tc>
        <w:tc>
          <w:tcPr>
            <w:tcW w:w="3827" w:type="dxa"/>
          </w:tcPr>
          <w:p w:rsidR="00EA11A0" w:rsidRPr="004B0525" w:rsidRDefault="00EA11A0" w:rsidP="0010645A">
            <w:pPr>
              <w:pStyle w:val="DHHSbody"/>
              <w:spacing w:line="240" w:lineRule="auto"/>
              <w:rPr>
                <w:rFonts w:eastAsia="Arial" w:cs="Arial"/>
                <w:color w:val="FF0000"/>
                <w:spacing w:val="-4"/>
                <w:w w:val="105"/>
              </w:rPr>
            </w:pPr>
            <w:r>
              <w:t>Review access to health services by Aboriginal community and develop strategies to address gaps.</w:t>
            </w:r>
          </w:p>
        </w:tc>
      </w:tr>
      <w:tr w:rsidR="00EA11A0" w:rsidRPr="004B0525" w:rsidTr="0010645A">
        <w:trPr>
          <w:trHeight w:val="920"/>
        </w:trPr>
        <w:tc>
          <w:tcPr>
            <w:tcW w:w="2693" w:type="dxa"/>
            <w:vMerge/>
          </w:tcPr>
          <w:p w:rsidR="00EA11A0" w:rsidRPr="00296041" w:rsidRDefault="00EA11A0" w:rsidP="00FA2D9D">
            <w:pPr>
              <w:pStyle w:val="DHHSbody"/>
              <w:ind w:firstLine="142"/>
            </w:pPr>
          </w:p>
        </w:tc>
        <w:tc>
          <w:tcPr>
            <w:tcW w:w="2835" w:type="dxa"/>
            <w:vMerge/>
          </w:tcPr>
          <w:p w:rsidR="00EA11A0" w:rsidRDefault="00EA11A0" w:rsidP="00FA2D9D">
            <w:pPr>
              <w:pStyle w:val="DHHSbody"/>
              <w:ind w:firstLine="142"/>
            </w:pPr>
          </w:p>
        </w:tc>
        <w:tc>
          <w:tcPr>
            <w:tcW w:w="3827" w:type="dxa"/>
          </w:tcPr>
          <w:p w:rsidR="00EA11A0" w:rsidRDefault="00EA11A0" w:rsidP="0010645A">
            <w:pPr>
              <w:pStyle w:val="DHHSbody"/>
              <w:spacing w:line="240" w:lineRule="auto"/>
            </w:pPr>
            <w:r>
              <w:t>Develop and implement activities, in collaboration with other service providers, with Maldon Primary School that encourage and support healthy lifestyles</w:t>
            </w:r>
            <w:r w:rsidR="00A3598D">
              <w:t>.</w:t>
            </w:r>
          </w:p>
        </w:tc>
      </w:tr>
      <w:tr w:rsidR="00EA11A0" w:rsidRPr="00CF1F30" w:rsidTr="00A3598D">
        <w:trPr>
          <w:trHeight w:val="939"/>
        </w:trPr>
        <w:tc>
          <w:tcPr>
            <w:tcW w:w="2693" w:type="dxa"/>
            <w:vMerge w:val="restart"/>
          </w:tcPr>
          <w:p w:rsidR="00EA11A0" w:rsidRPr="009A3DCC" w:rsidRDefault="00EA11A0" w:rsidP="008E58EC">
            <w:pPr>
              <w:pStyle w:val="DHHSbody"/>
              <w:rPr>
                <w:b/>
              </w:rPr>
            </w:pPr>
            <w:r w:rsidRPr="009A3DCC">
              <w:rPr>
                <w:b/>
              </w:rPr>
              <w:t>Better Access</w:t>
            </w:r>
          </w:p>
          <w:p w:rsidR="00EA11A0" w:rsidRPr="00CF1F30" w:rsidRDefault="00EA11A0" w:rsidP="008E58EC">
            <w:pPr>
              <w:pStyle w:val="DHHSbody"/>
            </w:pPr>
            <w:r w:rsidRPr="00296041">
              <w:t>Care is always there when people need it</w:t>
            </w:r>
          </w:p>
          <w:p w:rsidR="00EA11A0" w:rsidRDefault="00EA11A0" w:rsidP="008E58EC">
            <w:pPr>
              <w:pStyle w:val="DHHSbody"/>
            </w:pPr>
            <w:r w:rsidRPr="002F5770">
              <w:t>More access to care in the home and community</w:t>
            </w:r>
          </w:p>
          <w:p w:rsidR="00EA11A0" w:rsidRPr="002F5770" w:rsidRDefault="00EA11A0" w:rsidP="008E58EC">
            <w:pPr>
              <w:pStyle w:val="DHHSbody"/>
            </w:pPr>
          </w:p>
          <w:p w:rsidR="00EA11A0" w:rsidRPr="002F5770" w:rsidRDefault="00EA11A0" w:rsidP="008E58EC">
            <w:pPr>
              <w:pStyle w:val="DHHSbody"/>
            </w:pPr>
            <w:r w:rsidRPr="002F5770">
              <w:t>People are connected to the full range of care and support they need</w:t>
            </w:r>
            <w:r>
              <w:br/>
            </w:r>
          </w:p>
          <w:p w:rsidR="00EA11A0" w:rsidRDefault="00EA11A0" w:rsidP="008E58EC">
            <w:pPr>
              <w:pStyle w:val="DHHSbody"/>
            </w:pPr>
            <w:r w:rsidRPr="002F5770">
              <w:t>There is equal access to care</w:t>
            </w:r>
          </w:p>
        </w:tc>
        <w:tc>
          <w:tcPr>
            <w:tcW w:w="2835" w:type="dxa"/>
            <w:vMerge w:val="restart"/>
          </w:tcPr>
          <w:p w:rsidR="00EA11A0" w:rsidRPr="009A3DCC" w:rsidRDefault="00EA11A0" w:rsidP="008E58EC">
            <w:pPr>
              <w:pStyle w:val="DHHSbody"/>
              <w:rPr>
                <w:b/>
              </w:rPr>
            </w:pPr>
            <w:r w:rsidRPr="009A3DCC">
              <w:rPr>
                <w:b/>
              </w:rPr>
              <w:t>Better Access</w:t>
            </w:r>
          </w:p>
          <w:p w:rsidR="00EA11A0" w:rsidRPr="00CF1F30" w:rsidRDefault="00EA11A0" w:rsidP="008E58EC">
            <w:pPr>
              <w:pStyle w:val="DHHSbody"/>
            </w:pPr>
            <w:r w:rsidRPr="00296041">
              <w:t>Plan and invest</w:t>
            </w:r>
            <w:r>
              <w:br/>
            </w:r>
          </w:p>
          <w:p w:rsidR="00EA11A0" w:rsidRDefault="00EA11A0" w:rsidP="008E58EC">
            <w:pPr>
              <w:pStyle w:val="DHHSbody"/>
            </w:pPr>
            <w:r w:rsidRPr="00296041">
              <w:t>Unlock innovation</w:t>
            </w:r>
          </w:p>
          <w:p w:rsidR="00EA11A0" w:rsidRPr="00CF1F30" w:rsidRDefault="00EA11A0" w:rsidP="008E58EC">
            <w:pPr>
              <w:pStyle w:val="DHHSbody"/>
            </w:pPr>
          </w:p>
          <w:p w:rsidR="00EA11A0" w:rsidRDefault="00EA11A0" w:rsidP="008E58EC">
            <w:pPr>
              <w:pStyle w:val="DHHSbody"/>
            </w:pPr>
            <w:r>
              <w:t>Pro</w:t>
            </w:r>
            <w:r w:rsidRPr="00296041">
              <w:t>vide easier access</w:t>
            </w:r>
          </w:p>
          <w:p w:rsidR="00EA11A0" w:rsidRPr="00CF1F30" w:rsidRDefault="00EA11A0" w:rsidP="008E58EC">
            <w:pPr>
              <w:pStyle w:val="DHHSbody"/>
            </w:pPr>
          </w:p>
          <w:p w:rsidR="00EA11A0" w:rsidRDefault="00EA11A0" w:rsidP="008E58EC">
            <w:pPr>
              <w:pStyle w:val="DHHSbody"/>
            </w:pPr>
            <w:r w:rsidRPr="00296041">
              <w:t>Ensure fair access</w:t>
            </w:r>
          </w:p>
          <w:p w:rsidR="00EA11A0" w:rsidRDefault="00EA11A0" w:rsidP="008E58EC">
            <w:pPr>
              <w:pStyle w:val="DHHSbody"/>
            </w:pPr>
          </w:p>
          <w:p w:rsidR="00EA11A0" w:rsidRPr="00CF1F30" w:rsidRDefault="00EA11A0" w:rsidP="008E58EC">
            <w:pPr>
              <w:pStyle w:val="DHHSbody"/>
            </w:pPr>
          </w:p>
        </w:tc>
        <w:tc>
          <w:tcPr>
            <w:tcW w:w="3827" w:type="dxa"/>
          </w:tcPr>
          <w:p w:rsidR="00EA11A0" w:rsidRPr="006644B6" w:rsidRDefault="00EA11A0" w:rsidP="00A3598D">
            <w:pPr>
              <w:pStyle w:val="DHHSbody"/>
              <w:spacing w:line="240" w:lineRule="auto"/>
              <w:rPr>
                <w:rFonts w:eastAsiaTheme="minorHAnsi" w:cs="Arial"/>
              </w:rPr>
            </w:pPr>
            <w:r w:rsidRPr="00A3598D">
              <w:t>Conduct community and stakeholder consultations to formulate a service profile that supports the community health needs into the future.</w:t>
            </w:r>
            <w:r w:rsidRPr="006644B6">
              <w:rPr>
                <w:rFonts w:eastAsiaTheme="minorHAnsi" w:cs="Arial"/>
              </w:rPr>
              <w:t xml:space="preserve"> </w:t>
            </w:r>
          </w:p>
        </w:tc>
      </w:tr>
      <w:tr w:rsidR="00EA11A0" w:rsidRPr="004F6988" w:rsidTr="00630797">
        <w:trPr>
          <w:trHeight w:val="744"/>
        </w:trPr>
        <w:tc>
          <w:tcPr>
            <w:tcW w:w="2693" w:type="dxa"/>
            <w:vMerge/>
          </w:tcPr>
          <w:p w:rsidR="00EA11A0" w:rsidRPr="00296041" w:rsidRDefault="00EA11A0" w:rsidP="008E58EC">
            <w:pPr>
              <w:pStyle w:val="DHHSbody"/>
            </w:pPr>
          </w:p>
        </w:tc>
        <w:tc>
          <w:tcPr>
            <w:tcW w:w="2835" w:type="dxa"/>
            <w:vMerge/>
          </w:tcPr>
          <w:p w:rsidR="00EA11A0" w:rsidRDefault="00EA11A0" w:rsidP="008E58EC">
            <w:pPr>
              <w:pStyle w:val="DHHSbody"/>
            </w:pPr>
          </w:p>
        </w:tc>
        <w:tc>
          <w:tcPr>
            <w:tcW w:w="3827" w:type="dxa"/>
          </w:tcPr>
          <w:p w:rsidR="00EA11A0" w:rsidRPr="004F6988" w:rsidRDefault="00EA11A0" w:rsidP="0010645A">
            <w:pPr>
              <w:pStyle w:val="DHHSbody"/>
              <w:spacing w:line="240" w:lineRule="auto"/>
              <w:rPr>
                <w:rFonts w:eastAsia="Arial" w:cs="Arial"/>
                <w:color w:val="FF0000"/>
                <w:spacing w:val="-4"/>
                <w:w w:val="105"/>
              </w:rPr>
            </w:pPr>
            <w:r>
              <w:t>Investigate further opportunities to develop more outreach programs in the home.</w:t>
            </w:r>
          </w:p>
        </w:tc>
      </w:tr>
      <w:tr w:rsidR="00EA11A0" w:rsidRPr="00865980" w:rsidTr="00630797">
        <w:trPr>
          <w:trHeight w:val="744"/>
        </w:trPr>
        <w:tc>
          <w:tcPr>
            <w:tcW w:w="2693" w:type="dxa"/>
            <w:vMerge/>
          </w:tcPr>
          <w:p w:rsidR="00EA11A0" w:rsidRPr="00296041" w:rsidRDefault="00EA11A0" w:rsidP="008E58EC">
            <w:pPr>
              <w:pStyle w:val="DHHSbody"/>
            </w:pPr>
          </w:p>
        </w:tc>
        <w:tc>
          <w:tcPr>
            <w:tcW w:w="2835" w:type="dxa"/>
            <w:vMerge/>
          </w:tcPr>
          <w:p w:rsidR="00EA11A0" w:rsidRDefault="00EA11A0" w:rsidP="008E58EC">
            <w:pPr>
              <w:pStyle w:val="DHHSbody"/>
            </w:pPr>
          </w:p>
        </w:tc>
        <w:tc>
          <w:tcPr>
            <w:tcW w:w="3827" w:type="dxa"/>
          </w:tcPr>
          <w:p w:rsidR="00EA11A0" w:rsidRPr="00865980" w:rsidRDefault="00EA11A0" w:rsidP="0010645A">
            <w:pPr>
              <w:pStyle w:val="DHHSbody"/>
              <w:spacing w:line="240" w:lineRule="auto"/>
              <w:rPr>
                <w:rFonts w:eastAsia="Arial" w:cs="Arial"/>
                <w:color w:val="FF0000"/>
                <w:spacing w:val="1"/>
                <w:w w:val="105"/>
              </w:rPr>
            </w:pPr>
            <w:r>
              <w:t xml:space="preserve">Review the model for Palliative care to enhance and promote the care of our clients at home with a life-ending illness. </w:t>
            </w:r>
          </w:p>
        </w:tc>
      </w:tr>
      <w:tr w:rsidR="00EA11A0" w:rsidRPr="00865980" w:rsidTr="0010645A">
        <w:trPr>
          <w:trHeight w:val="744"/>
        </w:trPr>
        <w:tc>
          <w:tcPr>
            <w:tcW w:w="2693" w:type="dxa"/>
            <w:vMerge/>
          </w:tcPr>
          <w:p w:rsidR="00EA11A0" w:rsidRPr="00296041" w:rsidRDefault="00EA11A0" w:rsidP="008E58EC">
            <w:pPr>
              <w:pStyle w:val="DHHSbody"/>
            </w:pPr>
          </w:p>
        </w:tc>
        <w:tc>
          <w:tcPr>
            <w:tcW w:w="2835" w:type="dxa"/>
            <w:vMerge/>
          </w:tcPr>
          <w:p w:rsidR="00EA11A0" w:rsidRDefault="00EA11A0" w:rsidP="008E58EC">
            <w:pPr>
              <w:pStyle w:val="DHHSbody"/>
            </w:pPr>
          </w:p>
        </w:tc>
        <w:tc>
          <w:tcPr>
            <w:tcW w:w="3827" w:type="dxa"/>
          </w:tcPr>
          <w:p w:rsidR="00EA11A0" w:rsidRPr="00A3598D" w:rsidRDefault="00EA11A0" w:rsidP="0010645A">
            <w:pPr>
              <w:pStyle w:val="DHHSbody"/>
              <w:spacing w:line="240" w:lineRule="auto"/>
            </w:pPr>
            <w:r>
              <w:t>Establish a Family Violence prevention and support “Whole of Hospital Model” to be established in conjunction with Bendigo Health.</w:t>
            </w:r>
          </w:p>
        </w:tc>
      </w:tr>
      <w:tr w:rsidR="00EA11A0" w:rsidRPr="00865980" w:rsidTr="0010645A">
        <w:trPr>
          <w:trHeight w:val="744"/>
        </w:trPr>
        <w:tc>
          <w:tcPr>
            <w:tcW w:w="2693" w:type="dxa"/>
            <w:vMerge/>
          </w:tcPr>
          <w:p w:rsidR="00EA11A0" w:rsidRPr="00296041" w:rsidRDefault="00EA11A0" w:rsidP="008E58EC">
            <w:pPr>
              <w:pStyle w:val="DHHSbody"/>
            </w:pPr>
          </w:p>
        </w:tc>
        <w:tc>
          <w:tcPr>
            <w:tcW w:w="2835" w:type="dxa"/>
            <w:vMerge/>
          </w:tcPr>
          <w:p w:rsidR="00EA11A0" w:rsidRDefault="00EA11A0" w:rsidP="008E58EC">
            <w:pPr>
              <w:pStyle w:val="DHHSbody"/>
            </w:pPr>
          </w:p>
        </w:tc>
        <w:tc>
          <w:tcPr>
            <w:tcW w:w="3827" w:type="dxa"/>
          </w:tcPr>
          <w:p w:rsidR="00EA11A0" w:rsidRDefault="00EA11A0" w:rsidP="0010645A">
            <w:pPr>
              <w:pStyle w:val="DHHSbody"/>
              <w:spacing w:line="240" w:lineRule="auto"/>
            </w:pPr>
            <w:r>
              <w:t>Work towards meeting Rainbow accreditation to enhance services to Lesbian, Gay, Bi-sexual Trans gender and Intersex people.</w:t>
            </w:r>
          </w:p>
        </w:tc>
      </w:tr>
    </w:tbl>
    <w:p w:rsidR="00EA11A0" w:rsidRDefault="00EA11A0">
      <w:r>
        <w:br w:type="page"/>
      </w:r>
    </w:p>
    <w:tbl>
      <w:tblPr>
        <w:tblStyle w:val="TableGrid"/>
        <w:tblW w:w="9355" w:type="dxa"/>
        <w:tblInd w:w="534" w:type="dxa"/>
        <w:tblLook w:val="04A0" w:firstRow="1" w:lastRow="0" w:firstColumn="1" w:lastColumn="0" w:noHBand="0" w:noVBand="1"/>
      </w:tblPr>
      <w:tblGrid>
        <w:gridCol w:w="2693"/>
        <w:gridCol w:w="2835"/>
        <w:gridCol w:w="3827"/>
      </w:tblGrid>
      <w:tr w:rsidR="00A3598D" w:rsidTr="0010645A">
        <w:trPr>
          <w:trHeight w:val="5400"/>
        </w:trPr>
        <w:tc>
          <w:tcPr>
            <w:tcW w:w="2693" w:type="dxa"/>
            <w:vMerge w:val="restart"/>
          </w:tcPr>
          <w:p w:rsidR="00A3598D" w:rsidRPr="009A3DCC" w:rsidRDefault="00A3598D" w:rsidP="008E58EC">
            <w:pPr>
              <w:pStyle w:val="DHHSbody"/>
              <w:rPr>
                <w:b/>
              </w:rPr>
            </w:pPr>
            <w:r w:rsidRPr="009A3DCC">
              <w:rPr>
                <w:b/>
              </w:rPr>
              <w:t>Better Care</w:t>
            </w:r>
          </w:p>
          <w:p w:rsidR="00A3598D" w:rsidRDefault="00A3598D" w:rsidP="008E58EC">
            <w:pPr>
              <w:pStyle w:val="DHHSbody"/>
            </w:pPr>
            <w:r w:rsidRPr="00296041">
              <w:t>Target zero avoidable harm</w:t>
            </w:r>
          </w:p>
          <w:p w:rsidR="00A3598D" w:rsidRPr="00CF1F30" w:rsidRDefault="00A3598D" w:rsidP="008E58EC">
            <w:pPr>
              <w:pStyle w:val="DHHSbody"/>
            </w:pPr>
          </w:p>
          <w:p w:rsidR="00A3598D" w:rsidRDefault="00A3598D" w:rsidP="008E58EC">
            <w:pPr>
              <w:pStyle w:val="DHHSbody"/>
            </w:pPr>
            <w:r w:rsidRPr="00296041">
              <w:t>Healthcare that focusses on outcomes</w:t>
            </w:r>
          </w:p>
          <w:p w:rsidR="00A3598D" w:rsidRPr="00CF1F30" w:rsidRDefault="00A3598D" w:rsidP="008E58EC">
            <w:pPr>
              <w:pStyle w:val="DHHSbody"/>
            </w:pPr>
          </w:p>
          <w:p w:rsidR="00A3598D" w:rsidRDefault="00A3598D" w:rsidP="008E58EC">
            <w:pPr>
              <w:pStyle w:val="DHHSbody"/>
            </w:pPr>
            <w:r w:rsidRPr="00296041">
              <w:t>Patients and carers are active partners in care</w:t>
            </w:r>
          </w:p>
          <w:p w:rsidR="00A3598D" w:rsidRPr="00CF1F30" w:rsidRDefault="00A3598D" w:rsidP="008E58EC">
            <w:pPr>
              <w:pStyle w:val="DHHSbody"/>
            </w:pPr>
          </w:p>
          <w:p w:rsidR="00A3598D" w:rsidRDefault="00A3598D" w:rsidP="008E58EC">
            <w:pPr>
              <w:pStyle w:val="DHHSbody"/>
            </w:pPr>
            <w:r w:rsidRPr="00296041">
              <w:t>Care fits together around people’s needs</w:t>
            </w:r>
          </w:p>
          <w:p w:rsidR="00A3598D" w:rsidRPr="009A3DCC" w:rsidRDefault="00A3598D" w:rsidP="008E58EC">
            <w:pPr>
              <w:pStyle w:val="DHHSbody"/>
              <w:rPr>
                <w:b/>
              </w:rPr>
            </w:pPr>
          </w:p>
          <w:p w:rsidR="00A3598D" w:rsidRPr="00296041" w:rsidRDefault="00A3598D" w:rsidP="008E58EC">
            <w:pPr>
              <w:pStyle w:val="DHHStablecaption"/>
              <w:spacing w:before="0" w:after="60"/>
            </w:pPr>
          </w:p>
        </w:tc>
        <w:tc>
          <w:tcPr>
            <w:tcW w:w="2835" w:type="dxa"/>
          </w:tcPr>
          <w:p w:rsidR="00A3598D" w:rsidRPr="00FD0F87" w:rsidRDefault="00A3598D" w:rsidP="008E58EC">
            <w:pPr>
              <w:pStyle w:val="DHHSbody"/>
              <w:rPr>
                <w:b/>
              </w:rPr>
            </w:pPr>
            <w:r w:rsidRPr="00FD0F87">
              <w:rPr>
                <w:b/>
              </w:rPr>
              <w:t>Better Care</w:t>
            </w:r>
          </w:p>
          <w:p w:rsidR="00A3598D" w:rsidRPr="00C63F21" w:rsidRDefault="00A3598D" w:rsidP="008E58EC">
            <w:pPr>
              <w:pStyle w:val="DHHSbody"/>
            </w:pPr>
            <w:r>
              <w:t>Put quality f</w:t>
            </w:r>
            <w:r w:rsidRPr="00C63F21">
              <w:t>irst</w:t>
            </w:r>
            <w:r w:rsidRPr="00C63F21">
              <w:br/>
            </w:r>
          </w:p>
          <w:p w:rsidR="00A3598D" w:rsidRPr="00C63F21" w:rsidRDefault="00A3598D" w:rsidP="008E58EC">
            <w:pPr>
              <w:pStyle w:val="DHHSbody"/>
            </w:pPr>
            <w:r w:rsidRPr="00C63F21">
              <w:t>Join up care</w:t>
            </w:r>
            <w:r w:rsidRPr="00C63F21">
              <w:br/>
            </w:r>
          </w:p>
          <w:p w:rsidR="00A3598D" w:rsidRPr="00C63F21" w:rsidRDefault="00A3598D" w:rsidP="008E58EC">
            <w:pPr>
              <w:pStyle w:val="DHHSbody"/>
            </w:pPr>
            <w:r w:rsidRPr="00C63F21">
              <w:t>Partner with patients</w:t>
            </w:r>
            <w:r w:rsidRPr="00C63F21">
              <w:br/>
            </w:r>
          </w:p>
          <w:p w:rsidR="00A3598D" w:rsidRPr="00C63F21" w:rsidRDefault="00A3598D" w:rsidP="008E58EC">
            <w:pPr>
              <w:pStyle w:val="DHHSbody"/>
            </w:pPr>
            <w:r w:rsidRPr="00C63F21">
              <w:t>Strengthen the workforce</w:t>
            </w:r>
            <w:r w:rsidRPr="00C63F21">
              <w:br/>
            </w:r>
          </w:p>
          <w:p w:rsidR="00A3598D" w:rsidRPr="00C63F21" w:rsidRDefault="00A3598D" w:rsidP="008E58EC">
            <w:pPr>
              <w:pStyle w:val="DHHSbody"/>
            </w:pPr>
            <w:r w:rsidRPr="00C63F21">
              <w:t>Embed evidence</w:t>
            </w:r>
            <w:r w:rsidRPr="00C63F21">
              <w:br/>
            </w:r>
          </w:p>
          <w:p w:rsidR="00A3598D" w:rsidRDefault="00A3598D" w:rsidP="008E58EC">
            <w:pPr>
              <w:pStyle w:val="DHHSbody"/>
            </w:pPr>
            <w:r w:rsidRPr="00C63F21">
              <w:t>Ensure equal care</w:t>
            </w:r>
          </w:p>
          <w:p w:rsidR="00A3598D" w:rsidRPr="00C63F21" w:rsidRDefault="00A3598D" w:rsidP="008E58EC">
            <w:pPr>
              <w:pStyle w:val="DHHSbody"/>
            </w:pPr>
          </w:p>
          <w:p w:rsidR="00A3598D" w:rsidRPr="00C63F21" w:rsidRDefault="00A3598D" w:rsidP="000838D7">
            <w:pPr>
              <w:pStyle w:val="DHHSbody"/>
              <w:rPr>
                <w:b/>
              </w:rPr>
            </w:pPr>
            <w:r w:rsidRPr="000838D7">
              <w:rPr>
                <w:rFonts w:eastAsia="Arial"/>
                <w:b/>
              </w:rPr>
              <w:t>Mandatory actions against the ‘Target zero avoidable harm’ goal:</w:t>
            </w:r>
          </w:p>
        </w:tc>
        <w:tc>
          <w:tcPr>
            <w:tcW w:w="3827" w:type="dxa"/>
          </w:tcPr>
          <w:p w:rsidR="00A3598D" w:rsidRDefault="00A3598D" w:rsidP="00A3598D">
            <w:pPr>
              <w:pStyle w:val="DHHSbody"/>
              <w:spacing w:line="240" w:lineRule="auto"/>
            </w:pPr>
            <w:r w:rsidRPr="00A3598D">
              <w:t>Develop and implement a plan to educate staff about obligations to report patient safety concerns, including p</w:t>
            </w:r>
            <w:r>
              <w:t>rovision of regular Education sessions to cover a wide range of staff in relation to incident reporting and quality activities evolving from patient safety concerns.</w:t>
            </w:r>
          </w:p>
          <w:p w:rsidR="00A3598D" w:rsidRDefault="00A3598D" w:rsidP="00630797">
            <w:pPr>
              <w:pStyle w:val="DHHSbody"/>
              <w:ind w:firstLine="34"/>
              <w:rPr>
                <w:rFonts w:cs="Arial"/>
                <w:color w:val="FF0000"/>
                <w:spacing w:val="1"/>
                <w:w w:val="105"/>
              </w:rPr>
            </w:pPr>
          </w:p>
        </w:tc>
      </w:tr>
      <w:tr w:rsidR="00A3598D" w:rsidRPr="00865980" w:rsidTr="00A3598D">
        <w:trPr>
          <w:trHeight w:val="1236"/>
        </w:trPr>
        <w:tc>
          <w:tcPr>
            <w:tcW w:w="2693" w:type="dxa"/>
            <w:vMerge/>
          </w:tcPr>
          <w:p w:rsidR="00A3598D" w:rsidRPr="009A3DCC" w:rsidRDefault="00A3598D" w:rsidP="008E58EC">
            <w:pPr>
              <w:pStyle w:val="DHHSbody"/>
              <w:rPr>
                <w:b/>
              </w:rPr>
            </w:pPr>
          </w:p>
        </w:tc>
        <w:tc>
          <w:tcPr>
            <w:tcW w:w="2835" w:type="dxa"/>
          </w:tcPr>
          <w:p w:rsidR="00A3598D" w:rsidRPr="00EA11A0" w:rsidRDefault="00A3598D" w:rsidP="00B230A0">
            <w:pPr>
              <w:pStyle w:val="DHHStablebullet"/>
              <w:numPr>
                <w:ilvl w:val="0"/>
                <w:numId w:val="0"/>
              </w:numPr>
              <w:spacing w:before="60" w:after="120" w:line="270" w:lineRule="atLeast"/>
              <w:rPr>
                <w:rFonts w:eastAsia="Arial"/>
              </w:rPr>
            </w:pPr>
            <w:r w:rsidRPr="002F5770">
              <w:rPr>
                <w:rFonts w:eastAsia="Arial"/>
              </w:rPr>
              <w:t>Develop and implement a plan to educate staff about obligations to report patient safety concerns</w:t>
            </w:r>
            <w:r>
              <w:rPr>
                <w:rFonts w:eastAsia="Arial"/>
              </w:rPr>
              <w:t>.</w:t>
            </w:r>
          </w:p>
        </w:tc>
        <w:tc>
          <w:tcPr>
            <w:tcW w:w="3827" w:type="dxa"/>
          </w:tcPr>
          <w:p w:rsidR="00A3598D" w:rsidRPr="00A3598D" w:rsidRDefault="00A3598D" w:rsidP="00A3598D">
            <w:pPr>
              <w:pStyle w:val="DHHSbody"/>
              <w:spacing w:line="240" w:lineRule="auto"/>
            </w:pPr>
            <w:r w:rsidRPr="00A3598D">
              <w:t>Further develop open disclosure processes in line with the Australian Open Disclosure Framework.</w:t>
            </w:r>
          </w:p>
        </w:tc>
      </w:tr>
      <w:tr w:rsidR="00A3598D" w:rsidTr="00A3598D">
        <w:trPr>
          <w:trHeight w:val="1254"/>
        </w:trPr>
        <w:tc>
          <w:tcPr>
            <w:tcW w:w="2693" w:type="dxa"/>
            <w:vMerge/>
          </w:tcPr>
          <w:p w:rsidR="00A3598D" w:rsidRPr="00296041" w:rsidRDefault="00A3598D" w:rsidP="008E58EC">
            <w:pPr>
              <w:pStyle w:val="DHHStablecaption"/>
              <w:spacing w:before="0" w:after="60"/>
              <w:rPr>
                <w:rFonts w:eastAsia="Arial"/>
              </w:rPr>
            </w:pPr>
          </w:p>
        </w:tc>
        <w:tc>
          <w:tcPr>
            <w:tcW w:w="2835" w:type="dxa"/>
            <w:vMerge w:val="restart"/>
          </w:tcPr>
          <w:p w:rsidR="00A3598D" w:rsidRPr="00A3598D" w:rsidRDefault="00A3598D" w:rsidP="00A3598D">
            <w:pPr>
              <w:pStyle w:val="DHHStablebullet"/>
              <w:numPr>
                <w:ilvl w:val="0"/>
                <w:numId w:val="0"/>
              </w:numPr>
              <w:spacing w:before="60" w:after="120" w:line="270" w:lineRule="atLeast"/>
              <w:rPr>
                <w:rFonts w:eastAsia="Arial"/>
              </w:rPr>
            </w:pPr>
            <w:r w:rsidRPr="002F5770">
              <w:rPr>
                <w:rFonts w:eastAsia="Arial"/>
              </w:rPr>
              <w:t xml:space="preserve">Establish agreements to involve with external specialists in clinical governance processes for each major area of activity (including </w:t>
            </w:r>
            <w:r>
              <w:rPr>
                <w:rFonts w:eastAsia="Arial"/>
              </w:rPr>
              <w:t>mortality and morbidity review).</w:t>
            </w:r>
          </w:p>
        </w:tc>
        <w:tc>
          <w:tcPr>
            <w:tcW w:w="3827" w:type="dxa"/>
          </w:tcPr>
          <w:p w:rsidR="00A3598D" w:rsidRPr="00A3598D" w:rsidRDefault="00A3598D" w:rsidP="00A3598D">
            <w:pPr>
              <w:pStyle w:val="DHHSbody"/>
              <w:spacing w:line="240" w:lineRule="auto"/>
            </w:pPr>
            <w:r w:rsidRPr="00A3598D">
              <w:t xml:space="preserve">Participate in Loddon Mallee Hospitals’ Chief Executive Officer Group, Loddon Mallee Morbidity and Mortality rounds and Loddon Mallee Regional Clinical Advisory Council.  </w:t>
            </w:r>
          </w:p>
        </w:tc>
      </w:tr>
      <w:tr w:rsidR="00A3598D" w:rsidTr="00A3598D">
        <w:trPr>
          <w:trHeight w:val="551"/>
        </w:trPr>
        <w:tc>
          <w:tcPr>
            <w:tcW w:w="2693" w:type="dxa"/>
            <w:vMerge/>
          </w:tcPr>
          <w:p w:rsidR="00A3598D" w:rsidRPr="00296041" w:rsidRDefault="00A3598D" w:rsidP="008E58EC">
            <w:pPr>
              <w:pStyle w:val="DHHStablecaption"/>
              <w:spacing w:before="0" w:after="60"/>
              <w:rPr>
                <w:rFonts w:eastAsia="Arial"/>
              </w:rPr>
            </w:pPr>
          </w:p>
        </w:tc>
        <w:tc>
          <w:tcPr>
            <w:tcW w:w="2835" w:type="dxa"/>
            <w:vMerge/>
          </w:tcPr>
          <w:p w:rsidR="00A3598D" w:rsidRPr="002F5770" w:rsidRDefault="00A3598D" w:rsidP="00B230A0">
            <w:pPr>
              <w:pStyle w:val="DHHStablebullet"/>
              <w:numPr>
                <w:ilvl w:val="0"/>
                <w:numId w:val="0"/>
              </w:numPr>
              <w:spacing w:before="60" w:after="120" w:line="270" w:lineRule="atLeast"/>
              <w:rPr>
                <w:rFonts w:eastAsia="Arial"/>
              </w:rPr>
            </w:pPr>
          </w:p>
        </w:tc>
        <w:tc>
          <w:tcPr>
            <w:tcW w:w="3827" w:type="dxa"/>
          </w:tcPr>
          <w:p w:rsidR="00A3598D" w:rsidRPr="00A3598D" w:rsidRDefault="00A3598D" w:rsidP="00A3598D">
            <w:pPr>
              <w:pStyle w:val="DHHSbody"/>
              <w:spacing w:line="240" w:lineRule="auto"/>
            </w:pPr>
            <w:r w:rsidRPr="00A3598D">
              <w:t>Conduct an external review of medical support every three years.</w:t>
            </w:r>
          </w:p>
        </w:tc>
      </w:tr>
      <w:tr w:rsidR="00A3598D" w:rsidRPr="00E92369" w:rsidTr="0081264A">
        <w:trPr>
          <w:trHeight w:val="1135"/>
        </w:trPr>
        <w:tc>
          <w:tcPr>
            <w:tcW w:w="2693" w:type="dxa"/>
            <w:vMerge/>
          </w:tcPr>
          <w:p w:rsidR="00A3598D" w:rsidRPr="00296041" w:rsidRDefault="00A3598D" w:rsidP="008E58EC">
            <w:pPr>
              <w:pStyle w:val="DHHStablecaption"/>
              <w:spacing w:before="0" w:after="60"/>
              <w:rPr>
                <w:rFonts w:eastAsia="Arial"/>
              </w:rPr>
            </w:pPr>
          </w:p>
        </w:tc>
        <w:tc>
          <w:tcPr>
            <w:tcW w:w="2835" w:type="dxa"/>
            <w:vMerge w:val="restart"/>
          </w:tcPr>
          <w:p w:rsidR="00A3598D" w:rsidRPr="00C63F21" w:rsidRDefault="00A3598D" w:rsidP="008E58EC">
            <w:pPr>
              <w:pStyle w:val="DHHSbody"/>
              <w:rPr>
                <w:b/>
              </w:rPr>
            </w:pPr>
            <w:r w:rsidRPr="002F5770">
              <w:rPr>
                <w:rFonts w:eastAsia="Arial"/>
              </w:rPr>
              <w:t>In partnership with consumers, identify 3 priority improvement areas using Victorian Healthcare Experience Survey data and establish an improvement plan for each.  These should be reviewed every 6 months to reflect new areas for improvement in patient experience.</w:t>
            </w:r>
          </w:p>
        </w:tc>
        <w:tc>
          <w:tcPr>
            <w:tcW w:w="3827" w:type="dxa"/>
          </w:tcPr>
          <w:p w:rsidR="00A3598D" w:rsidRPr="0081264A" w:rsidRDefault="00A3598D" w:rsidP="00A3598D">
            <w:pPr>
              <w:pStyle w:val="DHHSbody"/>
              <w:spacing w:line="240" w:lineRule="auto"/>
            </w:pPr>
            <w:r>
              <w:t>Review and improve resident personal clothing laundry service.</w:t>
            </w:r>
          </w:p>
        </w:tc>
      </w:tr>
      <w:tr w:rsidR="00A3598D" w:rsidRPr="00E92369" w:rsidTr="0081264A">
        <w:trPr>
          <w:trHeight w:val="1134"/>
        </w:trPr>
        <w:tc>
          <w:tcPr>
            <w:tcW w:w="2693" w:type="dxa"/>
            <w:vMerge/>
          </w:tcPr>
          <w:p w:rsidR="00A3598D" w:rsidRPr="00296041" w:rsidRDefault="00A3598D" w:rsidP="008E58EC">
            <w:pPr>
              <w:pStyle w:val="DHHStablecaption"/>
              <w:spacing w:before="0" w:after="60"/>
              <w:rPr>
                <w:rFonts w:eastAsia="Arial"/>
              </w:rPr>
            </w:pPr>
          </w:p>
        </w:tc>
        <w:tc>
          <w:tcPr>
            <w:tcW w:w="2835" w:type="dxa"/>
            <w:vMerge/>
          </w:tcPr>
          <w:p w:rsidR="00A3598D" w:rsidRPr="002F5770" w:rsidRDefault="00A3598D" w:rsidP="008E58EC">
            <w:pPr>
              <w:pStyle w:val="DHHSbody"/>
              <w:rPr>
                <w:rFonts w:eastAsia="Arial"/>
              </w:rPr>
            </w:pPr>
          </w:p>
        </w:tc>
        <w:tc>
          <w:tcPr>
            <w:tcW w:w="3827" w:type="dxa"/>
          </w:tcPr>
          <w:p w:rsidR="00A3598D" w:rsidRDefault="00A3598D" w:rsidP="00A3598D">
            <w:pPr>
              <w:pStyle w:val="DHHSbody"/>
              <w:spacing w:line="240" w:lineRule="auto"/>
            </w:pPr>
            <w:r>
              <w:t>Review food and nutrition services.</w:t>
            </w:r>
          </w:p>
        </w:tc>
      </w:tr>
      <w:tr w:rsidR="00A3598D" w:rsidRPr="00E92369" w:rsidTr="00A3598D">
        <w:trPr>
          <w:trHeight w:val="693"/>
        </w:trPr>
        <w:tc>
          <w:tcPr>
            <w:tcW w:w="2693" w:type="dxa"/>
            <w:vMerge/>
          </w:tcPr>
          <w:p w:rsidR="00A3598D" w:rsidRPr="00296041" w:rsidRDefault="00A3598D" w:rsidP="008E58EC">
            <w:pPr>
              <w:pStyle w:val="DHHStablecaption"/>
              <w:spacing w:before="0" w:after="60"/>
              <w:rPr>
                <w:rFonts w:eastAsia="Arial"/>
              </w:rPr>
            </w:pPr>
          </w:p>
        </w:tc>
        <w:tc>
          <w:tcPr>
            <w:tcW w:w="2835" w:type="dxa"/>
            <w:vMerge/>
          </w:tcPr>
          <w:p w:rsidR="00A3598D" w:rsidRPr="002F5770" w:rsidRDefault="00A3598D" w:rsidP="008E58EC">
            <w:pPr>
              <w:pStyle w:val="DHHSbody"/>
              <w:rPr>
                <w:rFonts w:eastAsia="Arial"/>
              </w:rPr>
            </w:pPr>
          </w:p>
        </w:tc>
        <w:tc>
          <w:tcPr>
            <w:tcW w:w="3827" w:type="dxa"/>
          </w:tcPr>
          <w:p w:rsidR="00A3598D" w:rsidRDefault="00A3598D" w:rsidP="00A3598D">
            <w:pPr>
              <w:pStyle w:val="DHHSbody"/>
              <w:spacing w:line="240" w:lineRule="auto"/>
            </w:pPr>
            <w:r>
              <w:t>Develop activities in the new outdoor area that improve resident satisfaction.</w:t>
            </w:r>
          </w:p>
        </w:tc>
      </w:tr>
    </w:tbl>
    <w:p w:rsidR="00C0255A" w:rsidRPr="00B01E10" w:rsidRDefault="00C0255A" w:rsidP="00FA2D9D">
      <w:pPr>
        <w:pStyle w:val="DHHSbody"/>
        <w:tabs>
          <w:tab w:val="left" w:pos="9639"/>
        </w:tabs>
        <w:ind w:left="426" w:right="848" w:firstLine="142"/>
        <w:jc w:val="both"/>
        <w:rPr>
          <w:color w:val="0070C0"/>
        </w:rPr>
      </w:pPr>
    </w:p>
    <w:p w:rsidR="00C0255A" w:rsidRPr="00C0255A" w:rsidRDefault="00C0255A" w:rsidP="00FA2D9D">
      <w:pPr>
        <w:pStyle w:val="DHHSbody"/>
        <w:ind w:left="426" w:firstLine="142"/>
      </w:pPr>
    </w:p>
    <w:p w:rsidR="00210BB0" w:rsidRPr="00210BB0" w:rsidRDefault="00210BB0" w:rsidP="00FA2D9D">
      <w:pPr>
        <w:ind w:left="426" w:firstLine="142"/>
        <w:rPr>
          <w:rFonts w:ascii="Arial" w:hAnsi="Arial"/>
          <w:bCs/>
          <w:color w:val="7030A0"/>
          <w:sz w:val="44"/>
          <w:szCs w:val="44"/>
        </w:rPr>
        <w:sectPr w:rsidR="00210BB0" w:rsidRPr="00210BB0" w:rsidSect="000E1565">
          <w:footerReference w:type="even" r:id="rId15"/>
          <w:footerReference w:type="default" r:id="rId16"/>
          <w:pgSz w:w="11906" w:h="16838" w:code="9"/>
          <w:pgMar w:top="567" w:right="851" w:bottom="1134" w:left="851" w:header="567" w:footer="510" w:gutter="0"/>
          <w:pgNumType w:start="4"/>
          <w:cols w:space="340"/>
          <w:docGrid w:linePitch="360"/>
        </w:sectPr>
      </w:pPr>
      <w:r>
        <w:rPr>
          <w:color w:val="7030A0"/>
        </w:rPr>
        <w:br w:type="page"/>
      </w:r>
    </w:p>
    <w:p w:rsidR="008B3E55" w:rsidRPr="00012A75" w:rsidRDefault="00C803B2" w:rsidP="0040006E">
      <w:pPr>
        <w:ind w:right="-28"/>
        <w:rPr>
          <w:rFonts w:ascii="Arial" w:hAnsi="Arial" w:cs="Arial"/>
        </w:rPr>
      </w:pPr>
      <w:bookmarkStart w:id="36" w:name="_Toc492973378"/>
      <w:r>
        <w:rPr>
          <w:rStyle w:val="Heading1Char"/>
          <w:color w:val="7030A0"/>
        </w:rPr>
        <w:t>Part B: Performance p</w:t>
      </w:r>
      <w:r w:rsidR="008B3E55" w:rsidRPr="002E39A7">
        <w:rPr>
          <w:rStyle w:val="Heading1Char"/>
          <w:color w:val="7030A0"/>
        </w:rPr>
        <w:t>riorities</w:t>
      </w:r>
      <w:bookmarkEnd w:id="36"/>
      <w:r w:rsidR="008B3E55" w:rsidRPr="00012A75">
        <w:rPr>
          <w:rFonts w:ascii="Arial" w:hAnsi="Arial" w:cs="Arial"/>
          <w:color w:val="7030A0"/>
          <w:sz w:val="44"/>
          <w:szCs w:val="44"/>
        </w:rPr>
        <w:br/>
      </w:r>
      <w:r w:rsidR="008B3E55" w:rsidRPr="00012A75">
        <w:rPr>
          <w:rFonts w:ascii="Arial" w:hAnsi="Arial" w:cs="Arial"/>
          <w:color w:val="7030A0"/>
          <w:sz w:val="22"/>
          <w:szCs w:val="22"/>
        </w:rPr>
        <w:br/>
      </w:r>
      <w:r w:rsidR="008B3E55" w:rsidRPr="00012A75">
        <w:rPr>
          <w:rFonts w:ascii="Arial" w:hAnsi="Arial" w:cs="Arial"/>
        </w:rPr>
        <w:t xml:space="preserve">The </w:t>
      </w:r>
      <w:r w:rsidR="008B3E55" w:rsidRPr="00012A75">
        <w:rPr>
          <w:rFonts w:ascii="Arial" w:hAnsi="Arial" w:cs="Arial"/>
          <w:i/>
        </w:rPr>
        <w:t>Victorian Health Services Performance monitoring framework</w:t>
      </w:r>
      <w:r w:rsidR="008B3E55" w:rsidRPr="00012A75">
        <w:rPr>
          <w:rFonts w:ascii="Arial" w:hAnsi="Arial" w:cs="Arial"/>
        </w:rPr>
        <w:t xml:space="preserve"> outlines the Government’s approach to overseeing the performance of Victorian health services. </w:t>
      </w:r>
    </w:p>
    <w:p w:rsidR="008B3E55" w:rsidRPr="00012A75" w:rsidRDefault="008B3E55" w:rsidP="0040006E">
      <w:pPr>
        <w:spacing w:after="200" w:line="276" w:lineRule="auto"/>
        <w:ind w:right="-28"/>
        <w:jc w:val="both"/>
        <w:rPr>
          <w:rFonts w:ascii="Arial" w:eastAsiaTheme="minorHAnsi" w:hAnsi="Arial" w:cs="Arial"/>
        </w:rPr>
      </w:pPr>
      <w:r w:rsidRPr="00012A75">
        <w:rPr>
          <w:rFonts w:ascii="Arial" w:eastAsiaTheme="minorHAnsi" w:hAnsi="Arial" w:cs="Arial"/>
        </w:rPr>
        <w:br/>
        <w:t>Changes to the key performance measures in 2017-18 strengthen the focus on high quality and safe care, organisational culture, patient experience and access and timeliness in line with Ministerial and departmental priorities.</w:t>
      </w:r>
    </w:p>
    <w:p w:rsidR="008B3E55" w:rsidRDefault="008B3E55" w:rsidP="0040006E">
      <w:pPr>
        <w:spacing w:after="200" w:line="276" w:lineRule="auto"/>
        <w:ind w:right="-28"/>
        <w:jc w:val="both"/>
        <w:rPr>
          <w:rFonts w:ascii="Arial" w:eastAsiaTheme="minorHAnsi" w:hAnsi="Arial" w:cs="Arial"/>
          <w:color w:val="0000FF" w:themeColor="hyperlink"/>
          <w:u w:val="single"/>
        </w:rPr>
      </w:pPr>
      <w:r w:rsidRPr="00012A75">
        <w:rPr>
          <w:rFonts w:ascii="Arial" w:eastAsiaTheme="minorHAnsi" w:hAnsi="Arial" w:cs="Arial"/>
        </w:rPr>
        <w:t xml:space="preserve">Further information is available at </w:t>
      </w:r>
      <w:hyperlink r:id="rId17" w:history="1">
        <w:r w:rsidR="00BD6F20" w:rsidRPr="00BD6F20">
          <w:rPr>
            <w:rStyle w:val="Hyperlink"/>
            <w:rFonts w:ascii="Arial" w:eastAsiaTheme="minorHAnsi" w:hAnsi="Arial" w:cs="Arial"/>
          </w:rPr>
          <w:t>https://www2.health.vic.gov.au/hospitals-and-health-services/funding-performance-accountability/performance-monitoring</w:t>
        </w:r>
      </w:hyperlink>
    </w:p>
    <w:p w:rsidR="004307E9" w:rsidRPr="004307E9" w:rsidRDefault="004307E9" w:rsidP="004307E9">
      <w:pPr>
        <w:tabs>
          <w:tab w:val="left" w:pos="8200"/>
        </w:tabs>
        <w:autoSpaceDE w:val="0"/>
        <w:autoSpaceDN w:val="0"/>
        <w:adjustRightInd w:val="0"/>
        <w:ind w:left="78"/>
        <w:rPr>
          <w:rFonts w:ascii="Arial" w:eastAsiaTheme="minorHAnsi" w:hAnsi="Arial" w:cs="Arial"/>
          <w:color w:val="000000"/>
          <w:sz w:val="22"/>
          <w:szCs w:val="22"/>
        </w:rPr>
      </w:pPr>
      <w:r w:rsidRPr="004307E9">
        <w:rPr>
          <w:rFonts w:ascii="Arial" w:eastAsiaTheme="minorHAnsi" w:hAnsi="Arial" w:cs="Arial"/>
          <w:b/>
          <w:bCs/>
          <w:color w:val="800080"/>
          <w:sz w:val="28"/>
          <w:szCs w:val="28"/>
        </w:rPr>
        <w:t>High quality and safe care</w:t>
      </w:r>
      <w:r w:rsidRPr="004307E9">
        <w:rPr>
          <w:rFonts w:ascii="Arial" w:eastAsiaTheme="minorHAnsi" w:hAnsi="Arial" w:cs="Arial"/>
          <w:b/>
          <w:bCs/>
          <w:color w:val="800080"/>
          <w:sz w:val="28"/>
          <w:szCs w:val="28"/>
        </w:rPr>
        <w:tab/>
      </w:r>
    </w:p>
    <w:p w:rsidR="004307E9" w:rsidRPr="004307E9" w:rsidRDefault="004307E9" w:rsidP="004307E9">
      <w:pPr>
        <w:spacing w:line="276" w:lineRule="auto"/>
        <w:rPr>
          <w:rFonts w:asciiTheme="minorHAnsi" w:eastAsiaTheme="minorHAnsi" w:hAnsiTheme="minorHAnsi" w:cstheme="minorBidi"/>
          <w:sz w:val="22"/>
          <w:szCs w:val="22"/>
        </w:rPr>
      </w:pPr>
    </w:p>
    <w:tbl>
      <w:tblPr>
        <w:tblW w:w="10135" w:type="dxa"/>
        <w:tblInd w:w="78" w:type="dxa"/>
        <w:tblLayout w:type="fixed"/>
        <w:tblLook w:val="0000" w:firstRow="0" w:lastRow="0" w:firstColumn="0" w:lastColumn="0" w:noHBand="0" w:noVBand="0"/>
      </w:tblPr>
      <w:tblGrid>
        <w:gridCol w:w="8122"/>
        <w:gridCol w:w="2013"/>
      </w:tblGrid>
      <w:tr w:rsidR="004307E9" w:rsidRPr="00A3598D" w:rsidTr="0010645A">
        <w:trPr>
          <w:cantSplit/>
          <w:trHeight w:val="290"/>
          <w:tblHeader/>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b/>
                <w:bCs/>
                <w:color w:val="800080"/>
              </w:rPr>
            </w:pPr>
            <w:r w:rsidRPr="00A3598D">
              <w:rPr>
                <w:rFonts w:ascii="Arial" w:eastAsiaTheme="minorHAnsi" w:hAnsi="Arial" w:cs="Arial"/>
                <w:b/>
                <w:bCs/>
                <w:color w:val="800080"/>
              </w:rPr>
              <w:t>Key performance indicator</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b/>
                <w:bCs/>
                <w:color w:val="800080"/>
              </w:rPr>
            </w:pPr>
            <w:r w:rsidRPr="00A3598D">
              <w:rPr>
                <w:rFonts w:ascii="Arial" w:eastAsiaTheme="minorHAnsi" w:hAnsi="Arial" w:cs="Arial"/>
                <w:b/>
                <w:bCs/>
                <w:color w:val="800080"/>
              </w:rPr>
              <w:t>Target</w:t>
            </w:r>
          </w:p>
        </w:tc>
      </w:tr>
      <w:tr w:rsidR="004307E9" w:rsidRPr="00A3598D" w:rsidTr="0010645A">
        <w:trPr>
          <w:cantSplit/>
          <w:trHeight w:val="290"/>
        </w:trPr>
        <w:tc>
          <w:tcPr>
            <w:tcW w:w="8122" w:type="dxa"/>
            <w:tcBorders>
              <w:top w:val="nil"/>
              <w:left w:val="single" w:sz="6" w:space="0" w:color="auto"/>
              <w:bottom w:val="nil"/>
              <w:right w:val="nil"/>
            </w:tcBorders>
          </w:tcPr>
          <w:p w:rsidR="004307E9" w:rsidRPr="00A3598D" w:rsidRDefault="004307E9" w:rsidP="004307E9">
            <w:pPr>
              <w:autoSpaceDE w:val="0"/>
              <w:autoSpaceDN w:val="0"/>
              <w:adjustRightInd w:val="0"/>
              <w:spacing w:before="60" w:after="60"/>
              <w:rPr>
                <w:rFonts w:ascii="Arial" w:eastAsiaTheme="minorHAnsi" w:hAnsi="Arial" w:cs="Arial"/>
                <w:color w:val="800080"/>
              </w:rPr>
            </w:pPr>
            <w:r w:rsidRPr="00A3598D">
              <w:rPr>
                <w:rFonts w:ascii="Arial" w:eastAsiaTheme="minorHAnsi" w:hAnsi="Arial" w:cs="Arial"/>
                <w:color w:val="800080"/>
              </w:rPr>
              <w:t xml:space="preserve">Accreditation </w:t>
            </w:r>
          </w:p>
        </w:tc>
        <w:tc>
          <w:tcPr>
            <w:tcW w:w="2013" w:type="dxa"/>
            <w:tcBorders>
              <w:top w:val="nil"/>
              <w:left w:val="nil"/>
              <w:bottom w:val="nil"/>
              <w:right w:val="single" w:sz="6" w:space="0" w:color="auto"/>
            </w:tcBorders>
          </w:tcPr>
          <w:p w:rsidR="004307E9" w:rsidRPr="00A3598D"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A3598D"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 xml:space="preserve">Accreditation against the National Safety and Quality Health Service Standards </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Full compliance</w:t>
            </w:r>
          </w:p>
        </w:tc>
      </w:tr>
      <w:tr w:rsidR="004307E9" w:rsidRPr="00A3598D"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Compliance with the Commonwealth’s Aged Care Accreditation Standards</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Full compliance</w:t>
            </w:r>
          </w:p>
        </w:tc>
      </w:tr>
      <w:tr w:rsidR="004307E9" w:rsidRPr="00A3598D" w:rsidTr="0010645A">
        <w:trPr>
          <w:cantSplit/>
          <w:trHeight w:val="290"/>
        </w:trPr>
        <w:tc>
          <w:tcPr>
            <w:tcW w:w="8122" w:type="dxa"/>
            <w:tcBorders>
              <w:top w:val="nil"/>
              <w:left w:val="single" w:sz="6" w:space="0" w:color="auto"/>
              <w:bottom w:val="nil"/>
              <w:right w:val="nil"/>
            </w:tcBorders>
          </w:tcPr>
          <w:p w:rsidR="004307E9" w:rsidRPr="00A3598D" w:rsidRDefault="004307E9" w:rsidP="004307E9">
            <w:pPr>
              <w:autoSpaceDE w:val="0"/>
              <w:autoSpaceDN w:val="0"/>
              <w:adjustRightInd w:val="0"/>
              <w:spacing w:before="60" w:after="60"/>
              <w:rPr>
                <w:rFonts w:ascii="Arial" w:eastAsiaTheme="minorHAnsi" w:hAnsi="Arial" w:cs="Arial"/>
                <w:color w:val="800080"/>
              </w:rPr>
            </w:pPr>
            <w:r w:rsidRPr="00A3598D">
              <w:rPr>
                <w:rFonts w:ascii="Arial" w:eastAsiaTheme="minorHAnsi" w:hAnsi="Arial" w:cs="Arial"/>
                <w:color w:val="800080"/>
              </w:rPr>
              <w:t>Infection prevention and control</w:t>
            </w:r>
          </w:p>
        </w:tc>
        <w:tc>
          <w:tcPr>
            <w:tcW w:w="2013" w:type="dxa"/>
            <w:tcBorders>
              <w:top w:val="nil"/>
              <w:left w:val="nil"/>
              <w:bottom w:val="nil"/>
              <w:right w:val="single" w:sz="6" w:space="0" w:color="auto"/>
            </w:tcBorders>
          </w:tcPr>
          <w:p w:rsidR="004307E9" w:rsidRPr="00A3598D"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A3598D"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Compliance with the Hand Hygiene Australia program</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80%</w:t>
            </w:r>
          </w:p>
        </w:tc>
      </w:tr>
      <w:tr w:rsidR="004307E9" w:rsidRPr="00A3598D"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Percentage of healthcare workers immunised for influenza</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75%</w:t>
            </w:r>
          </w:p>
        </w:tc>
      </w:tr>
      <w:tr w:rsidR="004307E9" w:rsidRPr="00A3598D" w:rsidTr="0010645A">
        <w:trPr>
          <w:cantSplit/>
          <w:trHeight w:val="290"/>
        </w:trPr>
        <w:tc>
          <w:tcPr>
            <w:tcW w:w="8122" w:type="dxa"/>
            <w:tcBorders>
              <w:top w:val="nil"/>
              <w:left w:val="single" w:sz="6" w:space="0" w:color="auto"/>
              <w:bottom w:val="nil"/>
              <w:right w:val="nil"/>
            </w:tcBorders>
          </w:tcPr>
          <w:p w:rsidR="004307E9" w:rsidRPr="00A3598D" w:rsidRDefault="004307E9" w:rsidP="004307E9">
            <w:pPr>
              <w:autoSpaceDE w:val="0"/>
              <w:autoSpaceDN w:val="0"/>
              <w:adjustRightInd w:val="0"/>
              <w:spacing w:before="60" w:after="60"/>
              <w:rPr>
                <w:rFonts w:ascii="Arial" w:eastAsiaTheme="minorHAnsi" w:hAnsi="Arial" w:cs="Arial"/>
                <w:color w:val="800080"/>
              </w:rPr>
            </w:pPr>
            <w:r w:rsidRPr="00A3598D">
              <w:rPr>
                <w:rFonts w:ascii="Arial" w:eastAsiaTheme="minorHAnsi" w:hAnsi="Arial" w:cs="Arial"/>
                <w:color w:val="800080"/>
              </w:rPr>
              <w:t>Patient experience</w:t>
            </w:r>
          </w:p>
        </w:tc>
        <w:tc>
          <w:tcPr>
            <w:tcW w:w="2013" w:type="dxa"/>
            <w:tcBorders>
              <w:top w:val="nil"/>
              <w:left w:val="nil"/>
              <w:bottom w:val="nil"/>
              <w:right w:val="single" w:sz="6" w:space="0" w:color="auto"/>
            </w:tcBorders>
          </w:tcPr>
          <w:p w:rsidR="004307E9" w:rsidRPr="00A3598D"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A3598D"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 xml:space="preserve">Victorian Healthcare Experience Survey – percentage of positive patient experience responses </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95% positive experience</w:t>
            </w:r>
          </w:p>
        </w:tc>
      </w:tr>
      <w:tr w:rsidR="004307E9" w:rsidRPr="00A3598D"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Victorian Healthcare Experience Survey – percentage of very positive responses to questions on discharge care</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75% very positive experience</w:t>
            </w:r>
          </w:p>
        </w:tc>
      </w:tr>
      <w:tr w:rsidR="004307E9" w:rsidRPr="00A3598D" w:rsidTr="00A3598D">
        <w:trPr>
          <w:cantSplit/>
          <w:trHeight w:val="252"/>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Victorian Healthcare Experience Survey – patients perception of cleanliness</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70%</w:t>
            </w:r>
          </w:p>
        </w:tc>
      </w:tr>
      <w:tr w:rsidR="004307E9" w:rsidRPr="00A3598D" w:rsidTr="0010645A">
        <w:trPr>
          <w:cantSplit/>
          <w:trHeight w:val="290"/>
        </w:trPr>
        <w:tc>
          <w:tcPr>
            <w:tcW w:w="8122" w:type="dxa"/>
            <w:tcBorders>
              <w:top w:val="nil"/>
              <w:left w:val="single" w:sz="6" w:space="0" w:color="auto"/>
              <w:bottom w:val="nil"/>
              <w:right w:val="nil"/>
            </w:tcBorders>
          </w:tcPr>
          <w:p w:rsidR="004307E9" w:rsidRPr="00A3598D" w:rsidRDefault="004307E9" w:rsidP="004307E9">
            <w:pPr>
              <w:autoSpaceDE w:val="0"/>
              <w:autoSpaceDN w:val="0"/>
              <w:adjustRightInd w:val="0"/>
              <w:spacing w:before="60" w:after="60"/>
              <w:rPr>
                <w:rFonts w:ascii="Arial" w:eastAsiaTheme="minorHAnsi" w:hAnsi="Arial" w:cs="Arial"/>
                <w:color w:val="800080"/>
              </w:rPr>
            </w:pPr>
            <w:r w:rsidRPr="00A3598D">
              <w:rPr>
                <w:rFonts w:ascii="Arial" w:eastAsiaTheme="minorHAnsi" w:hAnsi="Arial" w:cs="Arial"/>
                <w:color w:val="800080"/>
              </w:rPr>
              <w:t>Adverse events</w:t>
            </w:r>
          </w:p>
        </w:tc>
        <w:tc>
          <w:tcPr>
            <w:tcW w:w="2013" w:type="dxa"/>
            <w:tcBorders>
              <w:top w:val="nil"/>
              <w:left w:val="nil"/>
              <w:bottom w:val="nil"/>
              <w:right w:val="single" w:sz="6" w:space="0" w:color="auto"/>
            </w:tcBorders>
          </w:tcPr>
          <w:p w:rsidR="004307E9" w:rsidRPr="00A3598D"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A3598D"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rPr>
            </w:pPr>
            <w:r w:rsidRPr="00A3598D">
              <w:rPr>
                <w:rFonts w:ascii="Arial" w:eastAsiaTheme="minorHAnsi" w:hAnsi="Arial" w:cs="Arial"/>
                <w:color w:val="000000"/>
              </w:rPr>
              <w:t>Number of sentinel events</w:t>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Nil</w:t>
            </w:r>
          </w:p>
        </w:tc>
      </w:tr>
      <w:tr w:rsidR="004307E9" w:rsidRPr="00A3598D" w:rsidTr="0010645A">
        <w:trPr>
          <w:cantSplit/>
          <w:trHeight w:val="334"/>
        </w:trPr>
        <w:tc>
          <w:tcPr>
            <w:tcW w:w="8122"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rPr>
                <w:rFonts w:ascii="Arial" w:eastAsiaTheme="minorHAnsi" w:hAnsi="Arial" w:cs="Arial"/>
                <w:color w:val="000000"/>
                <w:vertAlign w:val="superscript"/>
              </w:rPr>
            </w:pPr>
            <w:r w:rsidRPr="00A3598D">
              <w:rPr>
                <w:rFonts w:ascii="Arial" w:eastAsiaTheme="minorHAnsi" w:hAnsi="Arial" w:cs="Arial"/>
                <w:color w:val="000000"/>
              </w:rPr>
              <w:t>Mortality – number of deaths in low mortality DRGs</w:t>
            </w:r>
            <w:r w:rsidR="007B05D3">
              <w:rPr>
                <w:rStyle w:val="FootnoteReference"/>
                <w:rFonts w:ascii="Arial" w:eastAsiaTheme="minorHAnsi" w:hAnsi="Arial" w:cs="Arial"/>
                <w:color w:val="000000"/>
              </w:rPr>
              <w:footnoteReference w:id="1"/>
            </w:r>
          </w:p>
        </w:tc>
        <w:tc>
          <w:tcPr>
            <w:tcW w:w="2013" w:type="dxa"/>
            <w:tcBorders>
              <w:top w:val="single" w:sz="6" w:space="0" w:color="auto"/>
              <w:left w:val="single" w:sz="6" w:space="0" w:color="auto"/>
              <w:bottom w:val="single" w:sz="6" w:space="0" w:color="auto"/>
              <w:right w:val="single" w:sz="6" w:space="0" w:color="auto"/>
            </w:tcBorders>
          </w:tcPr>
          <w:p w:rsidR="004307E9" w:rsidRPr="00A3598D" w:rsidRDefault="004307E9" w:rsidP="004307E9">
            <w:pPr>
              <w:autoSpaceDE w:val="0"/>
              <w:autoSpaceDN w:val="0"/>
              <w:adjustRightInd w:val="0"/>
              <w:spacing w:before="60" w:after="60"/>
              <w:jc w:val="center"/>
              <w:rPr>
                <w:rFonts w:ascii="Arial" w:eastAsiaTheme="minorHAnsi" w:hAnsi="Arial" w:cs="Arial"/>
                <w:color w:val="000000"/>
              </w:rPr>
            </w:pPr>
            <w:r w:rsidRPr="00A3598D">
              <w:rPr>
                <w:rFonts w:ascii="Arial" w:eastAsiaTheme="minorHAnsi" w:hAnsi="Arial" w:cs="Arial"/>
                <w:color w:val="000000"/>
              </w:rPr>
              <w:t>Nil</w:t>
            </w:r>
          </w:p>
        </w:tc>
      </w:tr>
    </w:tbl>
    <w:p w:rsidR="004307E9" w:rsidRPr="004307E9" w:rsidRDefault="004307E9" w:rsidP="004307E9">
      <w:pPr>
        <w:tabs>
          <w:tab w:val="left" w:pos="8200"/>
        </w:tabs>
        <w:autoSpaceDE w:val="0"/>
        <w:autoSpaceDN w:val="0"/>
        <w:adjustRightInd w:val="0"/>
        <w:spacing w:before="60" w:after="60"/>
        <w:ind w:left="78"/>
        <w:rPr>
          <w:rFonts w:ascii="Arial" w:eastAsiaTheme="minorHAnsi" w:hAnsi="Arial" w:cs="Arial"/>
          <w:color w:val="000000"/>
          <w:sz w:val="22"/>
          <w:szCs w:val="22"/>
        </w:rPr>
      </w:pPr>
      <w:r w:rsidRPr="004307E9">
        <w:rPr>
          <w:rFonts w:ascii="Arial" w:eastAsiaTheme="minorHAnsi" w:hAnsi="Arial" w:cs="Arial"/>
          <w:b/>
          <w:bCs/>
          <w:color w:val="000000"/>
          <w:sz w:val="28"/>
          <w:szCs w:val="28"/>
        </w:rPr>
        <w:tab/>
      </w:r>
    </w:p>
    <w:p w:rsidR="004307E9" w:rsidRPr="004307E9" w:rsidRDefault="004307E9" w:rsidP="004307E9">
      <w:pPr>
        <w:tabs>
          <w:tab w:val="left" w:pos="8200"/>
        </w:tabs>
        <w:autoSpaceDE w:val="0"/>
        <w:autoSpaceDN w:val="0"/>
        <w:adjustRightInd w:val="0"/>
        <w:spacing w:before="60" w:after="60"/>
        <w:ind w:left="78"/>
        <w:rPr>
          <w:rFonts w:ascii="Arial" w:eastAsiaTheme="minorHAnsi" w:hAnsi="Arial" w:cs="Arial"/>
          <w:color w:val="000000"/>
          <w:sz w:val="22"/>
          <w:szCs w:val="22"/>
        </w:rPr>
      </w:pPr>
      <w:r w:rsidRPr="004307E9">
        <w:rPr>
          <w:rFonts w:ascii="Arial" w:eastAsiaTheme="minorHAnsi" w:hAnsi="Arial" w:cs="Arial"/>
          <w:b/>
          <w:bCs/>
          <w:color w:val="800080"/>
          <w:sz w:val="28"/>
          <w:szCs w:val="28"/>
        </w:rPr>
        <w:t>Strong governance, leadership and culture</w:t>
      </w:r>
      <w:r w:rsidRPr="004307E9">
        <w:rPr>
          <w:rFonts w:ascii="Arial" w:eastAsiaTheme="minorHAnsi" w:hAnsi="Arial" w:cs="Arial"/>
          <w:b/>
          <w:bCs/>
          <w:color w:val="800080"/>
          <w:sz w:val="28"/>
          <w:szCs w:val="28"/>
        </w:rPr>
        <w:tab/>
      </w:r>
    </w:p>
    <w:tbl>
      <w:tblPr>
        <w:tblW w:w="10135" w:type="dxa"/>
        <w:tblInd w:w="78" w:type="dxa"/>
        <w:tblLayout w:type="fixed"/>
        <w:tblLook w:val="0000" w:firstRow="0" w:lastRow="0" w:firstColumn="0" w:lastColumn="0" w:noHBand="0" w:noVBand="0"/>
      </w:tblPr>
      <w:tblGrid>
        <w:gridCol w:w="8122"/>
        <w:gridCol w:w="2013"/>
      </w:tblGrid>
      <w:tr w:rsidR="004307E9" w:rsidRPr="007B05D3" w:rsidTr="0010645A">
        <w:trPr>
          <w:cantSplit/>
          <w:trHeight w:val="290"/>
          <w:tblHeader/>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b/>
                <w:bCs/>
                <w:color w:val="800080"/>
              </w:rPr>
            </w:pPr>
            <w:r w:rsidRPr="007B05D3">
              <w:rPr>
                <w:rFonts w:ascii="Arial" w:eastAsiaTheme="minorHAnsi" w:hAnsi="Arial" w:cs="Arial"/>
                <w:b/>
                <w:bCs/>
                <w:color w:val="800080"/>
              </w:rPr>
              <w:t>Key performance indicator</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b/>
                <w:bCs/>
                <w:color w:val="800080"/>
              </w:rPr>
            </w:pPr>
            <w:r w:rsidRPr="007B05D3">
              <w:rPr>
                <w:rFonts w:ascii="Arial" w:eastAsiaTheme="minorHAnsi" w:hAnsi="Arial" w:cs="Arial"/>
                <w:b/>
                <w:bCs/>
                <w:color w:val="800080"/>
              </w:rPr>
              <w:t>Target</w:t>
            </w:r>
          </w:p>
        </w:tc>
      </w:tr>
      <w:tr w:rsidR="004307E9" w:rsidRPr="007B05D3" w:rsidTr="0010645A">
        <w:trPr>
          <w:cantSplit/>
          <w:trHeight w:val="290"/>
        </w:trPr>
        <w:tc>
          <w:tcPr>
            <w:tcW w:w="8122" w:type="dxa"/>
            <w:tcBorders>
              <w:top w:val="nil"/>
              <w:left w:val="single" w:sz="6" w:space="0" w:color="auto"/>
              <w:bottom w:val="nil"/>
              <w:right w:val="nil"/>
            </w:tcBorders>
          </w:tcPr>
          <w:p w:rsidR="004307E9" w:rsidRPr="007B05D3" w:rsidRDefault="004307E9" w:rsidP="004307E9">
            <w:pPr>
              <w:autoSpaceDE w:val="0"/>
              <w:autoSpaceDN w:val="0"/>
              <w:adjustRightInd w:val="0"/>
              <w:spacing w:before="60" w:after="60"/>
              <w:rPr>
                <w:rFonts w:ascii="Arial" w:eastAsiaTheme="minorHAnsi" w:hAnsi="Arial" w:cs="Arial"/>
                <w:color w:val="800080"/>
              </w:rPr>
            </w:pPr>
            <w:r w:rsidRPr="007B05D3">
              <w:rPr>
                <w:rFonts w:ascii="Arial" w:eastAsiaTheme="minorHAnsi" w:hAnsi="Arial" w:cs="Arial"/>
                <w:color w:val="800080"/>
              </w:rPr>
              <w:t>Organisational culture</w:t>
            </w:r>
          </w:p>
        </w:tc>
        <w:tc>
          <w:tcPr>
            <w:tcW w:w="2013" w:type="dxa"/>
            <w:tcBorders>
              <w:top w:val="nil"/>
              <w:left w:val="nil"/>
              <w:bottom w:val="nil"/>
              <w:right w:val="single" w:sz="6" w:space="0" w:color="auto"/>
            </w:tcBorders>
          </w:tcPr>
          <w:p w:rsidR="004307E9" w:rsidRPr="007B05D3"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7B05D3"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an overall positive response to safety and culture questions</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826"/>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“I am encouraged by my colleagues to report any patient safety concerns I may have”</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“Patient care errors are handled appropriately in my work area”</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826"/>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“My suggestions about patient safety would be acted upon if I expressed them to my manager”</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826"/>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“The culture in my work area makes it easy to learn from the errors of others”</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“Management is driving us to be a safety-centred organisation”</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826"/>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“This health service does a good job of training new and existing staff”</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552"/>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“Trainees in my discipline are adequately supervised”</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r w:rsidR="004307E9" w:rsidRPr="007B05D3" w:rsidTr="0010645A">
        <w:trPr>
          <w:cantSplit/>
          <w:trHeight w:val="826"/>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People matter survey – percentage of staff with a positive response to the question, “I would recommend a friend or relative to be treated as a patient here”</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80%</w:t>
            </w:r>
          </w:p>
        </w:tc>
      </w:tr>
    </w:tbl>
    <w:p w:rsidR="004307E9" w:rsidRPr="004307E9" w:rsidRDefault="004307E9" w:rsidP="004307E9">
      <w:pPr>
        <w:tabs>
          <w:tab w:val="left" w:pos="8200"/>
        </w:tabs>
        <w:autoSpaceDE w:val="0"/>
        <w:autoSpaceDN w:val="0"/>
        <w:adjustRightInd w:val="0"/>
        <w:spacing w:before="60" w:after="60"/>
        <w:ind w:left="78"/>
        <w:rPr>
          <w:rFonts w:ascii="Arial" w:eastAsiaTheme="minorHAnsi" w:hAnsi="Arial" w:cs="Arial"/>
          <w:color w:val="000000"/>
          <w:sz w:val="22"/>
          <w:szCs w:val="22"/>
        </w:rPr>
      </w:pPr>
      <w:r w:rsidRPr="004307E9">
        <w:rPr>
          <w:rFonts w:ascii="Arial" w:eastAsiaTheme="minorHAnsi" w:hAnsi="Arial" w:cs="Arial"/>
          <w:color w:val="000000"/>
          <w:sz w:val="22"/>
          <w:szCs w:val="22"/>
        </w:rPr>
        <w:tab/>
      </w:r>
    </w:p>
    <w:p w:rsidR="004307E9" w:rsidRPr="004307E9" w:rsidRDefault="004307E9" w:rsidP="004307E9">
      <w:pPr>
        <w:tabs>
          <w:tab w:val="left" w:pos="8200"/>
        </w:tabs>
        <w:autoSpaceDE w:val="0"/>
        <w:autoSpaceDN w:val="0"/>
        <w:adjustRightInd w:val="0"/>
        <w:spacing w:before="60" w:after="60"/>
        <w:ind w:left="78"/>
        <w:rPr>
          <w:rFonts w:ascii="Arial" w:eastAsiaTheme="minorHAnsi" w:hAnsi="Arial" w:cs="Arial"/>
          <w:color w:val="000000"/>
          <w:sz w:val="22"/>
          <w:szCs w:val="22"/>
        </w:rPr>
      </w:pPr>
      <w:r w:rsidRPr="004307E9">
        <w:rPr>
          <w:rFonts w:ascii="Arial" w:eastAsiaTheme="minorHAnsi" w:hAnsi="Arial" w:cs="Arial"/>
          <w:b/>
          <w:bCs/>
          <w:color w:val="800080"/>
          <w:sz w:val="28"/>
          <w:szCs w:val="28"/>
        </w:rPr>
        <w:t>Effective financial management</w:t>
      </w:r>
      <w:r w:rsidRPr="004307E9">
        <w:rPr>
          <w:rFonts w:ascii="Arial" w:eastAsiaTheme="minorHAnsi" w:hAnsi="Arial" w:cs="Arial"/>
          <w:b/>
          <w:bCs/>
          <w:color w:val="800080"/>
          <w:sz w:val="28"/>
          <w:szCs w:val="28"/>
        </w:rPr>
        <w:tab/>
      </w:r>
    </w:p>
    <w:tbl>
      <w:tblPr>
        <w:tblW w:w="10135" w:type="dxa"/>
        <w:tblInd w:w="78" w:type="dxa"/>
        <w:tblLayout w:type="fixed"/>
        <w:tblLook w:val="0000" w:firstRow="0" w:lastRow="0" w:firstColumn="0" w:lastColumn="0" w:noHBand="0" w:noVBand="0"/>
      </w:tblPr>
      <w:tblGrid>
        <w:gridCol w:w="8122"/>
        <w:gridCol w:w="2013"/>
      </w:tblGrid>
      <w:tr w:rsidR="004307E9" w:rsidRPr="007B05D3" w:rsidTr="0010645A">
        <w:trPr>
          <w:cantSplit/>
          <w:trHeight w:val="290"/>
          <w:tblHeader/>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b/>
                <w:bCs/>
                <w:color w:val="800080"/>
              </w:rPr>
            </w:pPr>
            <w:r w:rsidRPr="007B05D3">
              <w:rPr>
                <w:rFonts w:ascii="Arial" w:eastAsiaTheme="minorHAnsi" w:hAnsi="Arial" w:cs="Arial"/>
                <w:b/>
                <w:bCs/>
                <w:color w:val="800080"/>
              </w:rPr>
              <w:t>Key performance indicator</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b/>
                <w:bCs/>
                <w:color w:val="800080"/>
              </w:rPr>
            </w:pPr>
            <w:r w:rsidRPr="007B05D3">
              <w:rPr>
                <w:rFonts w:ascii="Arial" w:eastAsiaTheme="minorHAnsi" w:hAnsi="Arial" w:cs="Arial"/>
                <w:b/>
                <w:bCs/>
                <w:color w:val="800080"/>
              </w:rPr>
              <w:t>Target</w:t>
            </w:r>
          </w:p>
        </w:tc>
      </w:tr>
      <w:tr w:rsidR="004307E9" w:rsidRPr="007B05D3" w:rsidTr="0010645A">
        <w:trPr>
          <w:cantSplit/>
          <w:trHeight w:val="290"/>
        </w:trPr>
        <w:tc>
          <w:tcPr>
            <w:tcW w:w="8122" w:type="dxa"/>
            <w:tcBorders>
              <w:top w:val="nil"/>
              <w:left w:val="single" w:sz="6" w:space="0" w:color="auto"/>
              <w:bottom w:val="nil"/>
              <w:right w:val="nil"/>
            </w:tcBorders>
          </w:tcPr>
          <w:p w:rsidR="004307E9" w:rsidRPr="007B05D3" w:rsidRDefault="004307E9" w:rsidP="004307E9">
            <w:pPr>
              <w:autoSpaceDE w:val="0"/>
              <w:autoSpaceDN w:val="0"/>
              <w:adjustRightInd w:val="0"/>
              <w:spacing w:before="60" w:after="60"/>
              <w:rPr>
                <w:rFonts w:ascii="Arial" w:eastAsiaTheme="minorHAnsi" w:hAnsi="Arial" w:cs="Arial"/>
                <w:color w:val="800080"/>
              </w:rPr>
            </w:pPr>
            <w:r w:rsidRPr="007B05D3">
              <w:rPr>
                <w:rFonts w:ascii="Arial" w:eastAsiaTheme="minorHAnsi" w:hAnsi="Arial" w:cs="Arial"/>
                <w:color w:val="800080"/>
              </w:rPr>
              <w:t>Finance</w:t>
            </w:r>
          </w:p>
        </w:tc>
        <w:tc>
          <w:tcPr>
            <w:tcW w:w="2013" w:type="dxa"/>
            <w:tcBorders>
              <w:top w:val="nil"/>
              <w:left w:val="nil"/>
              <w:bottom w:val="nil"/>
              <w:right w:val="single" w:sz="6" w:space="0" w:color="auto"/>
            </w:tcBorders>
          </w:tcPr>
          <w:p w:rsidR="004307E9" w:rsidRPr="007B05D3" w:rsidRDefault="004307E9" w:rsidP="004307E9">
            <w:pPr>
              <w:autoSpaceDE w:val="0"/>
              <w:autoSpaceDN w:val="0"/>
              <w:adjustRightInd w:val="0"/>
              <w:spacing w:before="60" w:after="60"/>
              <w:jc w:val="right"/>
              <w:rPr>
                <w:rFonts w:ascii="Arial" w:eastAsiaTheme="minorHAnsi" w:hAnsi="Arial" w:cs="Arial"/>
                <w:color w:val="800080"/>
              </w:rPr>
            </w:pPr>
          </w:p>
        </w:tc>
      </w:tr>
      <w:tr w:rsidR="004307E9" w:rsidRPr="007B05D3" w:rsidTr="007B05D3">
        <w:trPr>
          <w:cantSplit/>
          <w:trHeight w:val="332"/>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Operating result ($m)</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094A53" w:rsidP="004307E9">
            <w:pPr>
              <w:autoSpaceDE w:val="0"/>
              <w:autoSpaceDN w:val="0"/>
              <w:adjustRightInd w:val="0"/>
              <w:spacing w:before="60" w:after="60"/>
              <w:jc w:val="center"/>
              <w:rPr>
                <w:rFonts w:ascii="Arial" w:eastAsiaTheme="minorHAnsi" w:hAnsi="Arial" w:cs="Arial"/>
                <w:color w:val="FF0000"/>
              </w:rPr>
            </w:pPr>
            <w:r w:rsidRPr="007B05D3">
              <w:rPr>
                <w:rFonts w:ascii="Arial" w:eastAsiaTheme="minorHAnsi" w:hAnsi="Arial" w:cs="Arial"/>
              </w:rPr>
              <w:t>0.10</w:t>
            </w:r>
          </w:p>
        </w:tc>
      </w:tr>
      <w:tr w:rsidR="004307E9" w:rsidRPr="007B05D3"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Average number of days to paying trade creditors</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60 days</w:t>
            </w:r>
          </w:p>
        </w:tc>
      </w:tr>
      <w:tr w:rsidR="004307E9" w:rsidRPr="007B05D3"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Average number of days to receiving patient fee debtors</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60 days</w:t>
            </w:r>
          </w:p>
        </w:tc>
      </w:tr>
      <w:tr w:rsidR="004307E9" w:rsidRPr="007B05D3" w:rsidTr="007B05D3">
        <w:trPr>
          <w:cantSplit/>
          <w:trHeight w:val="1015"/>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 xml:space="preserve">Adjusted current asset ratio </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0.7 or 3% improvement from health service base target</w:t>
            </w:r>
          </w:p>
        </w:tc>
      </w:tr>
      <w:tr w:rsidR="004307E9" w:rsidRPr="007B05D3" w:rsidTr="0010645A">
        <w:trPr>
          <w:cantSplit/>
          <w:trHeight w:val="290"/>
        </w:trPr>
        <w:tc>
          <w:tcPr>
            <w:tcW w:w="8122"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rPr>
                <w:rFonts w:ascii="Arial" w:eastAsiaTheme="minorHAnsi" w:hAnsi="Arial" w:cs="Arial"/>
                <w:color w:val="000000"/>
              </w:rPr>
            </w:pPr>
            <w:r w:rsidRPr="007B05D3">
              <w:rPr>
                <w:rFonts w:ascii="Arial" w:eastAsiaTheme="minorHAnsi" w:hAnsi="Arial" w:cs="Arial"/>
                <w:color w:val="000000"/>
              </w:rPr>
              <w:t>Number of days of available cash</w:t>
            </w:r>
          </w:p>
        </w:tc>
        <w:tc>
          <w:tcPr>
            <w:tcW w:w="2013" w:type="dxa"/>
            <w:tcBorders>
              <w:top w:val="single" w:sz="6" w:space="0" w:color="auto"/>
              <w:left w:val="single" w:sz="6" w:space="0" w:color="auto"/>
              <w:bottom w:val="single" w:sz="6" w:space="0" w:color="auto"/>
              <w:right w:val="single" w:sz="6" w:space="0" w:color="auto"/>
            </w:tcBorders>
          </w:tcPr>
          <w:p w:rsidR="004307E9" w:rsidRPr="007B05D3" w:rsidRDefault="004307E9" w:rsidP="004307E9">
            <w:pPr>
              <w:autoSpaceDE w:val="0"/>
              <w:autoSpaceDN w:val="0"/>
              <w:adjustRightInd w:val="0"/>
              <w:spacing w:before="60" w:after="60"/>
              <w:jc w:val="center"/>
              <w:rPr>
                <w:rFonts w:ascii="Arial" w:eastAsiaTheme="minorHAnsi" w:hAnsi="Arial" w:cs="Arial"/>
                <w:color w:val="000000"/>
              </w:rPr>
            </w:pPr>
            <w:r w:rsidRPr="007B05D3">
              <w:rPr>
                <w:rFonts w:ascii="Arial" w:eastAsiaTheme="minorHAnsi" w:hAnsi="Arial" w:cs="Arial"/>
                <w:color w:val="000000"/>
              </w:rPr>
              <w:t>14 days</w:t>
            </w:r>
          </w:p>
        </w:tc>
      </w:tr>
    </w:tbl>
    <w:p w:rsidR="00F72626" w:rsidRPr="00F72626" w:rsidRDefault="00F72626" w:rsidP="00F72626"/>
    <w:p w:rsidR="00F72626" w:rsidRDefault="00F72626" w:rsidP="00F72626"/>
    <w:p w:rsidR="008B3E55" w:rsidRPr="00F72626" w:rsidRDefault="00F72626" w:rsidP="00115D07">
      <w:pPr>
        <w:tabs>
          <w:tab w:val="left" w:pos="1685"/>
        </w:tabs>
        <w:ind w:hanging="142"/>
      </w:pPr>
      <w:r>
        <w:tab/>
      </w:r>
    </w:p>
    <w:p w:rsidR="00920FD5" w:rsidRPr="00C62E65" w:rsidRDefault="00920FD5" w:rsidP="006802AC">
      <w:pPr>
        <w:pStyle w:val="Heading1"/>
        <w:ind w:left="-142"/>
        <w:rPr>
          <w:color w:val="7030A0"/>
        </w:rPr>
      </w:pPr>
      <w:bookmarkStart w:id="37" w:name="_Toc491256445"/>
      <w:bookmarkStart w:id="38" w:name="_Toc491257352"/>
      <w:bookmarkStart w:id="39" w:name="_Toc492973379"/>
      <w:r w:rsidRPr="00C62E65">
        <w:rPr>
          <w:color w:val="7030A0"/>
        </w:rPr>
        <w:t>Part C: Activity and funding</w:t>
      </w:r>
      <w:bookmarkEnd w:id="37"/>
      <w:bookmarkEnd w:id="38"/>
      <w:bookmarkEnd w:id="39"/>
      <w:r w:rsidRPr="00C62E65">
        <w:rPr>
          <w:color w:val="7030A0"/>
        </w:rPr>
        <w:t xml:space="preserve"> </w:t>
      </w:r>
    </w:p>
    <w:p w:rsidR="00166479" w:rsidRPr="00543C07" w:rsidRDefault="00166479" w:rsidP="006802AC">
      <w:pPr>
        <w:pStyle w:val="DHHSbody"/>
        <w:ind w:left="-142"/>
        <w:jc w:val="both"/>
        <w:rPr>
          <w:i/>
          <w:lang w:eastAsia="en-AU"/>
        </w:rPr>
      </w:pPr>
      <w:r>
        <w:rPr>
          <w:lang w:eastAsia="en-AU"/>
        </w:rPr>
        <w:t>T</w:t>
      </w:r>
      <w:r w:rsidRPr="001C7D91">
        <w:rPr>
          <w:lang w:eastAsia="en-AU"/>
        </w:rPr>
        <w:t xml:space="preserve">he performance and financial framework within which state government-funded </w:t>
      </w:r>
      <w:r>
        <w:rPr>
          <w:lang w:eastAsia="en-AU"/>
        </w:rPr>
        <w:t>organisations</w:t>
      </w:r>
      <w:r w:rsidRPr="001C7D91">
        <w:rPr>
          <w:lang w:eastAsia="en-AU"/>
        </w:rPr>
        <w:t xml:space="preserve"> operate</w:t>
      </w:r>
      <w:r>
        <w:rPr>
          <w:lang w:eastAsia="en-AU"/>
        </w:rPr>
        <w:t xml:space="preserve"> is described in </w:t>
      </w:r>
      <w:r>
        <w:t>‘Volume 2: Health operations 2017-18</w:t>
      </w:r>
      <w:r w:rsidRPr="004F7528">
        <w:t xml:space="preserve"> </w:t>
      </w:r>
      <w:r>
        <w:t xml:space="preserve">of the </w:t>
      </w:r>
      <w:r w:rsidRPr="00543C07">
        <w:rPr>
          <w:i/>
          <w:lang w:eastAsia="en-AU"/>
        </w:rPr>
        <w:t xml:space="preserve">Department of Health and Human Services Policy and funding guidelines 2017. </w:t>
      </w:r>
    </w:p>
    <w:p w:rsidR="00166479" w:rsidRPr="000D38AE" w:rsidRDefault="00166479" w:rsidP="006802AC">
      <w:pPr>
        <w:pStyle w:val="DHHSbody"/>
        <w:ind w:left="-142"/>
        <w:jc w:val="both"/>
        <w:rPr>
          <w:lang w:eastAsia="en-AU"/>
        </w:rPr>
      </w:pPr>
      <w:r w:rsidRPr="000D38AE">
        <w:t xml:space="preserve">The </w:t>
      </w:r>
      <w:r w:rsidRPr="000D38AE">
        <w:rPr>
          <w:i/>
          <w:lang w:eastAsia="en-AU"/>
        </w:rPr>
        <w:t xml:space="preserve">Policy and funding guidelines </w:t>
      </w:r>
      <w:r w:rsidRPr="000D38AE">
        <w:rPr>
          <w:lang w:eastAsia="en-AU"/>
        </w:rPr>
        <w:t xml:space="preserve">are available at </w:t>
      </w:r>
      <w:hyperlink r:id="rId18" w:history="1">
        <w:r w:rsidRPr="000D38AE">
          <w:rPr>
            <w:rStyle w:val="Hyperlink"/>
            <w:lang w:eastAsia="en-AU"/>
          </w:rPr>
          <w:t>https://www2.health.vic.gov.au/about/policy-and-funding-guidelines</w:t>
        </w:r>
      </w:hyperlink>
    </w:p>
    <w:p w:rsidR="00166479" w:rsidRDefault="00166479" w:rsidP="006802AC">
      <w:pPr>
        <w:pStyle w:val="DHHSbody"/>
        <w:ind w:left="-142"/>
        <w:jc w:val="both"/>
      </w:pPr>
      <w:r w:rsidRPr="000D38AE">
        <w:t xml:space="preserve">Further information about the Department of Health and Human Services' approach to funding and price setting for specific clinical activities, and funding policy changes is also </w:t>
      </w:r>
      <w:r>
        <w:t>available at</w:t>
      </w:r>
    </w:p>
    <w:p w:rsidR="00166479" w:rsidRDefault="000D71AE" w:rsidP="006802AC">
      <w:pPr>
        <w:pStyle w:val="DHHSbody"/>
        <w:ind w:left="-142"/>
        <w:jc w:val="both"/>
        <w:rPr>
          <w:rStyle w:val="Hyperlink"/>
        </w:rPr>
      </w:pPr>
      <w:hyperlink r:id="rId19" w:history="1">
        <w:r w:rsidR="00166479" w:rsidRPr="000D38AE">
          <w:rPr>
            <w:rStyle w:val="Hyperlink"/>
          </w:rPr>
          <w:t>https://www2.health.vic.gov.au/hospitals-and-health-services/funding-performance-accountability/pricing-funding-framework/funding-policy</w:t>
        </w:r>
      </w:hyperlink>
    </w:p>
    <w:p w:rsidR="004307E9" w:rsidRPr="000D38AE" w:rsidRDefault="004307E9" w:rsidP="006802AC">
      <w:pPr>
        <w:pStyle w:val="DHHSbody"/>
        <w:ind w:left="-142"/>
        <w:jc w:val="both"/>
      </w:pPr>
    </w:p>
    <w:tbl>
      <w:tblPr>
        <w:tblW w:w="0" w:type="auto"/>
        <w:tblCellMar>
          <w:left w:w="0" w:type="dxa"/>
          <w:right w:w="0" w:type="dxa"/>
        </w:tblCellMar>
        <w:tblLook w:val="0000" w:firstRow="0" w:lastRow="0" w:firstColumn="0" w:lastColumn="0" w:noHBand="0" w:noVBand="0"/>
      </w:tblPr>
      <w:tblGrid>
        <w:gridCol w:w="8712"/>
        <w:gridCol w:w="468"/>
        <w:gridCol w:w="6"/>
      </w:tblGrid>
      <w:tr w:rsidR="004307E9" w:rsidRPr="004307E9" w:rsidTr="0010645A">
        <w:trPr>
          <w:gridAfter w:val="1"/>
          <w:wAfter w:w="6" w:type="dxa"/>
        </w:trPr>
        <w:tc>
          <w:tcPr>
            <w:tcW w:w="9069" w:type="dxa"/>
          </w:tcPr>
          <w:tbl>
            <w:tblPr>
              <w:tblW w:w="0" w:type="auto"/>
              <w:tblCellMar>
                <w:left w:w="0" w:type="dxa"/>
                <w:right w:w="0" w:type="dxa"/>
              </w:tblCellMar>
              <w:tblLook w:val="0000" w:firstRow="0" w:lastRow="0" w:firstColumn="0" w:lastColumn="0" w:noHBand="0" w:noVBand="0"/>
            </w:tblPr>
            <w:tblGrid>
              <w:gridCol w:w="4193"/>
              <w:gridCol w:w="2184"/>
              <w:gridCol w:w="2315"/>
            </w:tblGrid>
            <w:tr w:rsidR="004307E9" w:rsidRPr="004307E9" w:rsidTr="0010645A">
              <w:trPr>
                <w:trHeight w:val="203"/>
              </w:trPr>
              <w:tc>
                <w:tcPr>
                  <w:tcW w:w="4393" w:type="dxa"/>
                  <w:tcBorders>
                    <w:top w:val="single" w:sz="8" w:space="0" w:color="000000"/>
                    <w:left w:val="single" w:sz="8" w:space="0" w:color="000000"/>
                    <w:bottom w:val="double" w:sz="4"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b/>
                      <w:color w:val="7030A0"/>
                      <w:lang w:val="en-US"/>
                    </w:rPr>
                    <w:t>Funding type</w:t>
                  </w:r>
                </w:p>
              </w:tc>
              <w:tc>
                <w:tcPr>
                  <w:tcW w:w="2267" w:type="dxa"/>
                  <w:tcBorders>
                    <w:top w:val="single" w:sz="8" w:space="0" w:color="000000"/>
                    <w:left w:val="single" w:sz="8" w:space="0" w:color="000000"/>
                    <w:bottom w:val="double" w:sz="4"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b/>
                      <w:color w:val="7030A0"/>
                      <w:lang w:val="en-US"/>
                    </w:rPr>
                    <w:t>Activity</w:t>
                  </w:r>
                </w:p>
              </w:tc>
              <w:tc>
                <w:tcPr>
                  <w:tcW w:w="2408" w:type="dxa"/>
                  <w:tcBorders>
                    <w:top w:val="single" w:sz="8" w:space="0" w:color="000000"/>
                    <w:left w:val="single" w:sz="8" w:space="0" w:color="000000"/>
                    <w:bottom w:val="double" w:sz="4"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b/>
                      <w:color w:val="7030A0"/>
                      <w:lang w:val="en-US"/>
                    </w:rPr>
                    <w:t>Budget ($'000)</w:t>
                  </w:r>
                </w:p>
              </w:tc>
            </w:tr>
          </w:tbl>
          <w:p w:rsidR="004307E9" w:rsidRPr="004307E9" w:rsidRDefault="004307E9" w:rsidP="004307E9">
            <w:pPr>
              <w:rPr>
                <w:rFonts w:ascii="Times New Roman" w:hAnsi="Times New Roman"/>
                <w:lang w:val="en-US"/>
              </w:rPr>
            </w:pPr>
          </w:p>
        </w:tc>
        <w:tc>
          <w:tcPr>
            <w:tcW w:w="494" w:type="dxa"/>
          </w:tcPr>
          <w:p w:rsidR="004307E9" w:rsidRPr="004307E9" w:rsidRDefault="004307E9" w:rsidP="004307E9">
            <w:pPr>
              <w:rPr>
                <w:rFonts w:ascii="Times New Roman" w:hAnsi="Times New Roman"/>
                <w:sz w:val="2"/>
                <w:lang w:val="en-US"/>
              </w:rPr>
            </w:pPr>
          </w:p>
        </w:tc>
      </w:tr>
      <w:tr w:rsidR="004307E9" w:rsidRPr="004307E9" w:rsidTr="0010645A">
        <w:trPr>
          <w:gridAfter w:val="1"/>
          <w:wAfter w:w="6" w:type="dxa"/>
        </w:trPr>
        <w:tc>
          <w:tcPr>
            <w:tcW w:w="9069" w:type="dxa"/>
          </w:tcPr>
          <w:tbl>
            <w:tblPr>
              <w:tblW w:w="0" w:type="auto"/>
              <w:tblCellMar>
                <w:left w:w="0" w:type="dxa"/>
                <w:right w:w="0" w:type="dxa"/>
              </w:tblCellMar>
              <w:tblLook w:val="0000" w:firstRow="0" w:lastRow="0" w:firstColumn="0" w:lastColumn="0" w:noHBand="0" w:noVBand="0"/>
            </w:tblPr>
            <w:tblGrid>
              <w:gridCol w:w="4207"/>
              <w:gridCol w:w="2179"/>
              <w:gridCol w:w="2306"/>
            </w:tblGrid>
            <w:tr w:rsidR="004307E9" w:rsidRPr="004307E9" w:rsidTr="0010645A">
              <w:trPr>
                <w:trHeight w:val="203"/>
              </w:trPr>
              <w:tc>
                <w:tcPr>
                  <w:tcW w:w="4393" w:type="dxa"/>
                  <w:tcBorders>
                    <w:top w:val="single" w:sz="8" w:space="0" w:color="000000"/>
                    <w:left w:val="single" w:sz="8" w:space="0" w:color="000000"/>
                    <w:bottom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b/>
                      <w:color w:val="7030A0"/>
                      <w:lang w:val="en-US"/>
                    </w:rPr>
                    <w:t>Small Rural</w:t>
                  </w:r>
                </w:p>
              </w:tc>
              <w:tc>
                <w:tcPr>
                  <w:tcW w:w="2267" w:type="dxa"/>
                  <w:tcBorders>
                    <w:top w:val="single" w:sz="8" w:space="0" w:color="000000"/>
                    <w:bottom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p>
              </w:tc>
              <w:tc>
                <w:tcPr>
                  <w:tcW w:w="2408" w:type="dxa"/>
                  <w:tcBorders>
                    <w:top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p>
              </w:tc>
            </w:tr>
            <w:tr w:rsidR="004307E9" w:rsidRPr="004307E9" w:rsidTr="0010645A">
              <w:trPr>
                <w:trHeight w:val="203"/>
              </w:trPr>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color w:val="000000"/>
                      <w:lang w:val="en-US"/>
                    </w:rPr>
                    <w:t>Small Rural Acute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14</w:t>
                  </w:r>
                </w:p>
              </w:tc>
              <w:tc>
                <w:tcPr>
                  <w:tcW w:w="24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1,522</w:t>
                  </w:r>
                </w:p>
              </w:tc>
            </w:tr>
            <w:tr w:rsidR="004307E9" w:rsidRPr="004307E9" w:rsidTr="0010645A">
              <w:trPr>
                <w:trHeight w:val="203"/>
              </w:trPr>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color w:val="000000"/>
                      <w:lang w:val="en-US"/>
                    </w:rPr>
                    <w:t>Small Rural Residential Care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10,125</w:t>
                  </w:r>
                </w:p>
              </w:tc>
              <w:tc>
                <w:tcPr>
                  <w:tcW w:w="24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528</w:t>
                  </w:r>
                </w:p>
              </w:tc>
            </w:tr>
            <w:tr w:rsidR="004307E9" w:rsidRPr="004307E9" w:rsidTr="0010645A">
              <w:trPr>
                <w:trHeight w:val="203"/>
              </w:trPr>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color w:val="000000"/>
                      <w:lang w:val="en-US"/>
                    </w:rPr>
                    <w:t>Small Rural HACC</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436</w:t>
                  </w:r>
                </w:p>
              </w:tc>
              <w:tc>
                <w:tcPr>
                  <w:tcW w:w="24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21</w:t>
                  </w:r>
                </w:p>
              </w:tc>
            </w:tr>
            <w:tr w:rsidR="004307E9" w:rsidRPr="004307E9" w:rsidTr="0010645A">
              <w:trPr>
                <w:trHeight w:val="203"/>
              </w:trPr>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color w:val="000000"/>
                      <w:lang w:val="en-US"/>
                    </w:rPr>
                    <w:t>Other specified funding</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p>
              </w:tc>
              <w:tc>
                <w:tcPr>
                  <w:tcW w:w="24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color w:val="000000"/>
                      <w:lang w:val="en-US"/>
                    </w:rPr>
                    <w:t>98</w:t>
                  </w:r>
                </w:p>
              </w:tc>
            </w:tr>
          </w:tbl>
          <w:p w:rsidR="004307E9" w:rsidRPr="004307E9" w:rsidRDefault="004307E9" w:rsidP="004307E9">
            <w:pPr>
              <w:rPr>
                <w:rFonts w:ascii="Times New Roman" w:hAnsi="Times New Roman"/>
                <w:lang w:val="en-US"/>
              </w:rPr>
            </w:pPr>
          </w:p>
        </w:tc>
        <w:tc>
          <w:tcPr>
            <w:tcW w:w="494" w:type="dxa"/>
          </w:tcPr>
          <w:p w:rsidR="004307E9" w:rsidRPr="004307E9" w:rsidRDefault="004307E9" w:rsidP="004307E9">
            <w:pPr>
              <w:rPr>
                <w:rFonts w:ascii="Times New Roman" w:hAnsi="Times New Roman"/>
                <w:sz w:val="2"/>
                <w:lang w:val="en-US"/>
              </w:rPr>
            </w:pPr>
          </w:p>
        </w:tc>
      </w:tr>
      <w:tr w:rsidR="004307E9" w:rsidRPr="004307E9" w:rsidTr="0010645A">
        <w:tc>
          <w:tcPr>
            <w:tcW w:w="9070" w:type="dxa"/>
          </w:tcPr>
          <w:tbl>
            <w:tblPr>
              <w:tblW w:w="0" w:type="auto"/>
              <w:tblCellMar>
                <w:left w:w="0" w:type="dxa"/>
                <w:right w:w="0" w:type="dxa"/>
              </w:tblCellMar>
              <w:tblLook w:val="0000" w:firstRow="0" w:lastRow="0" w:firstColumn="0" w:lastColumn="0" w:noHBand="0" w:noVBand="0"/>
            </w:tblPr>
            <w:tblGrid>
              <w:gridCol w:w="4216"/>
              <w:gridCol w:w="2158"/>
              <w:gridCol w:w="2318"/>
            </w:tblGrid>
            <w:tr w:rsidR="004307E9" w:rsidRPr="004307E9" w:rsidTr="0010645A">
              <w:trPr>
                <w:trHeight w:val="203"/>
              </w:trPr>
              <w:tc>
                <w:tcPr>
                  <w:tcW w:w="4393" w:type="dxa"/>
                  <w:tcBorders>
                    <w:top w:val="single" w:sz="8" w:space="0" w:color="000000"/>
                    <w:left w:val="single" w:sz="8" w:space="0" w:color="000000"/>
                    <w:bottom w:val="double" w:sz="4"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r w:rsidRPr="004307E9">
                    <w:rPr>
                      <w:rFonts w:ascii="Arial" w:eastAsia="Arial" w:hAnsi="Arial"/>
                      <w:b/>
                      <w:color w:val="000000"/>
                      <w:lang w:val="en-US"/>
                    </w:rPr>
                    <w:t>Total Funding</w:t>
                  </w:r>
                </w:p>
              </w:tc>
              <w:tc>
                <w:tcPr>
                  <w:tcW w:w="2267" w:type="dxa"/>
                  <w:tcBorders>
                    <w:top w:val="single" w:sz="8" w:space="0" w:color="000000"/>
                    <w:bottom w:val="double" w:sz="4" w:space="0" w:color="000000"/>
                    <w:right w:val="single" w:sz="8" w:space="0" w:color="000000"/>
                  </w:tcBorders>
                  <w:tcMar>
                    <w:top w:w="40" w:type="dxa"/>
                    <w:left w:w="40" w:type="dxa"/>
                    <w:bottom w:w="40" w:type="dxa"/>
                    <w:right w:w="40" w:type="dxa"/>
                  </w:tcMar>
                </w:tcPr>
                <w:p w:rsidR="004307E9" w:rsidRPr="004307E9" w:rsidRDefault="004307E9" w:rsidP="004307E9">
                  <w:pPr>
                    <w:rPr>
                      <w:rFonts w:ascii="Times New Roman" w:hAnsi="Times New Roman"/>
                      <w:lang w:val="en-US"/>
                    </w:rPr>
                  </w:pPr>
                </w:p>
              </w:tc>
              <w:tc>
                <w:tcPr>
                  <w:tcW w:w="2409" w:type="dxa"/>
                  <w:tcBorders>
                    <w:top w:val="single" w:sz="8" w:space="0" w:color="000000"/>
                    <w:left w:val="single" w:sz="8" w:space="0" w:color="000000"/>
                    <w:bottom w:val="double" w:sz="4" w:space="0" w:color="000000"/>
                    <w:right w:val="single" w:sz="8" w:space="0" w:color="000000"/>
                  </w:tcBorders>
                  <w:tcMar>
                    <w:top w:w="40" w:type="dxa"/>
                    <w:left w:w="40" w:type="dxa"/>
                    <w:bottom w:w="40" w:type="dxa"/>
                    <w:right w:w="40" w:type="dxa"/>
                  </w:tcMar>
                </w:tcPr>
                <w:p w:rsidR="004307E9" w:rsidRPr="004307E9" w:rsidRDefault="004307E9" w:rsidP="004307E9">
                  <w:pPr>
                    <w:jc w:val="right"/>
                    <w:rPr>
                      <w:rFonts w:ascii="Times New Roman" w:hAnsi="Times New Roman"/>
                      <w:lang w:val="en-US"/>
                    </w:rPr>
                  </w:pPr>
                  <w:r w:rsidRPr="004307E9">
                    <w:rPr>
                      <w:rFonts w:ascii="Arial" w:eastAsia="Arial" w:hAnsi="Arial"/>
                      <w:b/>
                      <w:color w:val="000000"/>
                      <w:lang w:val="en-US"/>
                    </w:rPr>
                    <w:t>2,169</w:t>
                  </w:r>
                </w:p>
              </w:tc>
            </w:tr>
          </w:tbl>
          <w:p w:rsidR="004307E9" w:rsidRPr="004307E9" w:rsidRDefault="004307E9" w:rsidP="004307E9">
            <w:pPr>
              <w:rPr>
                <w:rFonts w:ascii="Times New Roman" w:hAnsi="Times New Roman"/>
                <w:lang w:val="en-US"/>
              </w:rPr>
            </w:pPr>
          </w:p>
        </w:tc>
        <w:tc>
          <w:tcPr>
            <w:tcW w:w="494" w:type="dxa"/>
            <w:gridSpan w:val="2"/>
          </w:tcPr>
          <w:p w:rsidR="004307E9" w:rsidRPr="004307E9" w:rsidRDefault="004307E9" w:rsidP="004307E9">
            <w:pPr>
              <w:rPr>
                <w:rFonts w:ascii="Times New Roman" w:hAnsi="Times New Roman"/>
                <w:sz w:val="2"/>
                <w:lang w:val="en-US"/>
              </w:rPr>
            </w:pPr>
          </w:p>
        </w:tc>
      </w:tr>
    </w:tbl>
    <w:p w:rsidR="00A270C5" w:rsidRDefault="00A270C5" w:rsidP="0043614D">
      <w:pPr>
        <w:pStyle w:val="DHHSbody"/>
        <w:jc w:val="both"/>
      </w:pPr>
    </w:p>
    <w:p w:rsidR="00A270C5" w:rsidRPr="00A270C5" w:rsidRDefault="00A270C5" w:rsidP="0043614D">
      <w:pPr>
        <w:jc w:val="both"/>
      </w:pPr>
    </w:p>
    <w:p w:rsidR="00A270C5" w:rsidRPr="00A270C5" w:rsidRDefault="00A270C5" w:rsidP="00A270C5"/>
    <w:p w:rsidR="00A270C5" w:rsidRPr="00A270C5" w:rsidRDefault="00A270C5" w:rsidP="00A270C5"/>
    <w:p w:rsidR="00A270C5" w:rsidRPr="00A270C5" w:rsidRDefault="00A270C5" w:rsidP="00A270C5"/>
    <w:p w:rsidR="00A270C5" w:rsidRPr="00A270C5" w:rsidRDefault="00A270C5" w:rsidP="00A270C5"/>
    <w:p w:rsidR="00A270C5" w:rsidRPr="00A270C5" w:rsidRDefault="00A270C5" w:rsidP="00A270C5"/>
    <w:p w:rsidR="00A270C5" w:rsidRPr="00A270C5" w:rsidRDefault="00A270C5" w:rsidP="00A270C5"/>
    <w:p w:rsidR="00A270C5" w:rsidRPr="00A270C5" w:rsidRDefault="00A270C5" w:rsidP="00A270C5"/>
    <w:p w:rsidR="00A270C5" w:rsidRPr="00A270C5" w:rsidRDefault="00A270C5" w:rsidP="00A270C5"/>
    <w:p w:rsidR="00A270C5" w:rsidRDefault="00A270C5" w:rsidP="00A270C5"/>
    <w:p w:rsidR="00A270C5" w:rsidRDefault="00A270C5" w:rsidP="00A270C5"/>
    <w:p w:rsidR="005B325C" w:rsidRPr="00A270C5" w:rsidRDefault="005B325C" w:rsidP="004E6BE8">
      <w:pPr>
        <w:ind w:hanging="142"/>
        <w:jc w:val="right"/>
      </w:pPr>
    </w:p>
    <w:p w:rsidR="0043614D" w:rsidRDefault="0043614D">
      <w:pPr>
        <w:rPr>
          <w:rFonts w:ascii="Arial" w:eastAsia="Times" w:hAnsi="Arial"/>
        </w:rPr>
      </w:pPr>
      <w:r>
        <w:br w:type="page"/>
      </w:r>
    </w:p>
    <w:p w:rsidR="0043614D" w:rsidRPr="00E901E1" w:rsidRDefault="0043614D" w:rsidP="006802AC">
      <w:pPr>
        <w:pStyle w:val="Heading1"/>
        <w:rPr>
          <w:color w:val="7030A0"/>
        </w:rPr>
      </w:pPr>
      <w:bookmarkStart w:id="40" w:name="_Toc421615977"/>
      <w:bookmarkStart w:id="41" w:name="_Toc492973380"/>
      <w:bookmarkStart w:id="42" w:name="_Toc256778633"/>
      <w:r w:rsidRPr="00E901E1">
        <w:rPr>
          <w:color w:val="7030A0"/>
        </w:rPr>
        <w:t>Part D</w:t>
      </w:r>
      <w:bookmarkEnd w:id="40"/>
      <w:r w:rsidRPr="00E901E1">
        <w:rPr>
          <w:color w:val="7030A0"/>
        </w:rPr>
        <w:t>: Commonwealth funding contribution</w:t>
      </w:r>
      <w:bookmarkEnd w:id="41"/>
    </w:p>
    <w:p w:rsidR="0043614D" w:rsidRPr="00FE072F" w:rsidRDefault="0043614D" w:rsidP="006802AC">
      <w:pPr>
        <w:pStyle w:val="DHHSbody"/>
        <w:ind w:right="114"/>
        <w:jc w:val="both"/>
      </w:pPr>
      <w:r w:rsidRPr="00FE072F">
        <w:t>The Victorian health system has faced a number of changes to Commonwealth</w:t>
      </w:r>
      <w:r>
        <w:t xml:space="preserve"> funding since </w:t>
      </w:r>
      <w:r w:rsidR="00F72626">
        <w:br/>
      </w:r>
      <w:r>
        <w:t>2012</w:t>
      </w:r>
      <w:r w:rsidRPr="00440A34">
        <w:t>–</w:t>
      </w:r>
      <w:r w:rsidR="00877A69">
        <w:t xml:space="preserve">13. </w:t>
      </w:r>
      <w:r>
        <w:t xml:space="preserve">The </w:t>
      </w:r>
      <w:r w:rsidRPr="00FE072F">
        <w:t xml:space="preserve">changes to </w:t>
      </w:r>
      <w:r>
        <w:t xml:space="preserve">the </w:t>
      </w:r>
      <w:r w:rsidRPr="00FE072F">
        <w:t>funding arrangements</w:t>
      </w:r>
      <w:r>
        <w:t xml:space="preserve"> announced in the 2014</w:t>
      </w:r>
      <w:r w:rsidRPr="00440A34">
        <w:t>–</w:t>
      </w:r>
      <w:r w:rsidRPr="00FE072F">
        <w:t>1</w:t>
      </w:r>
      <w:r>
        <w:t>5</w:t>
      </w:r>
      <w:r w:rsidRPr="00FE072F">
        <w:t xml:space="preserve"> Commonwealth Budget will </w:t>
      </w:r>
      <w:r>
        <w:t xml:space="preserve">continue to be applicable for the period </w:t>
      </w:r>
      <w:r w:rsidRPr="00FE072F">
        <w:t>1</w:t>
      </w:r>
      <w:r>
        <w:t xml:space="preserve"> July 2017</w:t>
      </w:r>
      <w:r w:rsidRPr="00FE072F">
        <w:t xml:space="preserve"> </w:t>
      </w:r>
      <w:r>
        <w:t>to</w:t>
      </w:r>
      <w:r w:rsidRPr="00FE072F">
        <w:t xml:space="preserve"> 30 June 201</w:t>
      </w:r>
      <w:r>
        <w:t xml:space="preserve">8 with funding </w:t>
      </w:r>
      <w:r w:rsidRPr="00FE072F">
        <w:t>continue</w:t>
      </w:r>
      <w:r>
        <w:t>d</w:t>
      </w:r>
      <w:r w:rsidRPr="00FE072F">
        <w:t xml:space="preserve"> to be linked to actual activity levels</w:t>
      </w:r>
      <w:r>
        <w:t xml:space="preserve">. </w:t>
      </w:r>
    </w:p>
    <w:p w:rsidR="0043614D" w:rsidRPr="00FE072F" w:rsidRDefault="0043614D" w:rsidP="006802AC">
      <w:pPr>
        <w:pStyle w:val="DHHSbody"/>
        <w:ind w:right="114"/>
        <w:jc w:val="both"/>
      </w:pPr>
      <w:r w:rsidRPr="00FE072F">
        <w:t>The Commonwealth funding contribution outlined the 201</w:t>
      </w:r>
      <w:r>
        <w:t>7</w:t>
      </w:r>
      <w:r w:rsidRPr="00440A34">
        <w:t>–</w:t>
      </w:r>
      <w:r w:rsidRPr="00FE072F">
        <w:t>1</w:t>
      </w:r>
      <w:r>
        <w:t>8</w:t>
      </w:r>
      <w:r w:rsidRPr="00FE072F">
        <w:t xml:space="preserve"> Commonwealth Budget was based on estimates and has since been updated by the Administrator of the National Health Funding Pool, based on latest activity estimates from States and Territories. However, given that final funding amounts are based on actual activity, there may be adjustments to funding throughout the year as a result of reconciliations and other factors outlined below.</w:t>
      </w:r>
    </w:p>
    <w:p w:rsidR="0043614D" w:rsidRDefault="0043614D" w:rsidP="006802AC">
      <w:pPr>
        <w:pStyle w:val="DHHStablecaption"/>
      </w:pPr>
      <w:r w:rsidRPr="00FE072F">
        <w:t>Period: 1 July 201</w:t>
      </w:r>
      <w:r>
        <w:t>7</w:t>
      </w:r>
      <w:r w:rsidRPr="00FE072F">
        <w:t xml:space="preserve"> – 30 June 201</w:t>
      </w:r>
      <w:r>
        <w:t>8</w:t>
      </w: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1"/>
        <w:gridCol w:w="3502"/>
        <w:gridCol w:w="1848"/>
        <w:gridCol w:w="1795"/>
      </w:tblGrid>
      <w:tr w:rsidR="004307E9" w:rsidRPr="00FE072F" w:rsidTr="0010645A">
        <w:trPr>
          <w:tblHeader/>
        </w:trPr>
        <w:tc>
          <w:tcPr>
            <w:tcW w:w="887" w:type="pct"/>
          </w:tcPr>
          <w:p w:rsidR="004307E9" w:rsidRDefault="004307E9" w:rsidP="0010645A">
            <w:pPr>
              <w:pStyle w:val="DHHStablecolhead"/>
              <w:rPr>
                <w:color w:val="7030A0"/>
              </w:rPr>
            </w:pPr>
          </w:p>
        </w:tc>
        <w:tc>
          <w:tcPr>
            <w:tcW w:w="2016" w:type="pct"/>
          </w:tcPr>
          <w:p w:rsidR="004307E9" w:rsidRPr="00FE072F" w:rsidRDefault="004307E9" w:rsidP="0010645A">
            <w:pPr>
              <w:pStyle w:val="DHHStablecolhead"/>
            </w:pPr>
            <w:r>
              <w:rPr>
                <w:color w:val="7030A0"/>
              </w:rPr>
              <w:t>Service category</w:t>
            </w:r>
          </w:p>
        </w:tc>
        <w:tc>
          <w:tcPr>
            <w:tcW w:w="1064" w:type="pct"/>
          </w:tcPr>
          <w:p w:rsidR="004307E9" w:rsidRPr="00FE072F" w:rsidRDefault="004307E9" w:rsidP="0010645A">
            <w:pPr>
              <w:pStyle w:val="DHHStablecolhead"/>
            </w:pPr>
            <w:r w:rsidRPr="00E901E1">
              <w:rPr>
                <w:color w:val="7030A0"/>
              </w:rPr>
              <w:t>Estimated National Weighted Activity Units</w:t>
            </w:r>
            <w:r>
              <w:rPr>
                <w:color w:val="7030A0"/>
              </w:rPr>
              <w:t xml:space="preserve"> (NWAU17)</w:t>
            </w:r>
          </w:p>
        </w:tc>
        <w:tc>
          <w:tcPr>
            <w:tcW w:w="1033" w:type="pct"/>
          </w:tcPr>
          <w:p w:rsidR="004307E9" w:rsidRPr="00FE072F" w:rsidRDefault="004307E9" w:rsidP="0010645A">
            <w:pPr>
              <w:pStyle w:val="DHHStablecolhead"/>
            </w:pPr>
            <w:r>
              <w:rPr>
                <w:color w:val="7030A0"/>
              </w:rPr>
              <w:t>Total funding ($)</w:t>
            </w:r>
          </w:p>
        </w:tc>
      </w:tr>
      <w:tr w:rsidR="004307E9" w:rsidTr="0010645A">
        <w:tc>
          <w:tcPr>
            <w:tcW w:w="887" w:type="pct"/>
            <w:vMerge w:val="restart"/>
          </w:tcPr>
          <w:p w:rsidR="004307E9" w:rsidRPr="00B6014D" w:rsidRDefault="004307E9" w:rsidP="0010645A">
            <w:pPr>
              <w:pStyle w:val="DHHStabletext"/>
            </w:pPr>
            <w:r>
              <w:t>Activity based funding</w:t>
            </w:r>
          </w:p>
        </w:tc>
        <w:tc>
          <w:tcPr>
            <w:tcW w:w="2016" w:type="pct"/>
          </w:tcPr>
          <w:p w:rsidR="004307E9" w:rsidRPr="00B6014D" w:rsidRDefault="004307E9" w:rsidP="0010645A">
            <w:pPr>
              <w:pStyle w:val="DHHStabletext"/>
            </w:pPr>
            <w:r w:rsidRPr="00B6014D">
              <w:t>Acute admitted services</w:t>
            </w:r>
          </w:p>
        </w:tc>
        <w:tc>
          <w:tcPr>
            <w:tcW w:w="1064" w:type="pct"/>
          </w:tcPr>
          <w:p w:rsidR="004307E9" w:rsidRPr="00334797" w:rsidRDefault="004307E9" w:rsidP="0010645A">
            <w:pPr>
              <w:pStyle w:val="DHHStabletext"/>
            </w:pPr>
            <w:r>
              <w:t>-</w:t>
            </w:r>
          </w:p>
        </w:tc>
        <w:tc>
          <w:tcPr>
            <w:tcW w:w="1033" w:type="pct"/>
            <w:vMerge w:val="restart"/>
          </w:tcPr>
          <w:p w:rsidR="004307E9" w:rsidRDefault="004307E9" w:rsidP="0010645A">
            <w:pPr>
              <w:pStyle w:val="DHHStabletext"/>
            </w:pPr>
            <w:r>
              <w:t>-</w:t>
            </w:r>
          </w:p>
        </w:tc>
      </w:tr>
      <w:tr w:rsidR="004307E9" w:rsidTr="0010645A">
        <w:tc>
          <w:tcPr>
            <w:tcW w:w="887" w:type="pct"/>
            <w:vMerge/>
          </w:tcPr>
          <w:p w:rsidR="004307E9" w:rsidRPr="00B6014D" w:rsidRDefault="004307E9" w:rsidP="0010645A">
            <w:pPr>
              <w:pStyle w:val="DHHStabletext"/>
            </w:pPr>
          </w:p>
        </w:tc>
        <w:tc>
          <w:tcPr>
            <w:tcW w:w="2016" w:type="pct"/>
          </w:tcPr>
          <w:p w:rsidR="004307E9" w:rsidRPr="00B6014D" w:rsidRDefault="004307E9" w:rsidP="0010645A">
            <w:pPr>
              <w:pStyle w:val="DHHStabletext"/>
            </w:pPr>
            <w:r w:rsidRPr="00B6014D">
              <w:t>Admitted mental health</w:t>
            </w:r>
            <w:r>
              <w:t xml:space="preserve"> services</w:t>
            </w:r>
          </w:p>
        </w:tc>
        <w:tc>
          <w:tcPr>
            <w:tcW w:w="1064" w:type="pct"/>
          </w:tcPr>
          <w:p w:rsidR="004307E9" w:rsidRPr="00334797" w:rsidRDefault="004307E9" w:rsidP="0010645A">
            <w:pPr>
              <w:pStyle w:val="DHHStabletext"/>
            </w:pPr>
            <w:r>
              <w:t>-</w:t>
            </w:r>
          </w:p>
        </w:tc>
        <w:tc>
          <w:tcPr>
            <w:tcW w:w="1033" w:type="pct"/>
            <w:vMerge/>
          </w:tcPr>
          <w:p w:rsidR="004307E9" w:rsidRDefault="004307E9" w:rsidP="0010645A">
            <w:pPr>
              <w:pStyle w:val="DHHStabletext"/>
            </w:pPr>
          </w:p>
        </w:tc>
      </w:tr>
      <w:tr w:rsidR="004307E9" w:rsidTr="0010645A">
        <w:tc>
          <w:tcPr>
            <w:tcW w:w="887" w:type="pct"/>
            <w:vMerge/>
          </w:tcPr>
          <w:p w:rsidR="004307E9" w:rsidRDefault="004307E9" w:rsidP="0010645A">
            <w:pPr>
              <w:pStyle w:val="DHHStabletext"/>
            </w:pPr>
          </w:p>
        </w:tc>
        <w:tc>
          <w:tcPr>
            <w:tcW w:w="2016" w:type="pct"/>
          </w:tcPr>
          <w:p w:rsidR="004307E9" w:rsidRPr="00B6014D" w:rsidRDefault="004307E9" w:rsidP="0010645A">
            <w:pPr>
              <w:pStyle w:val="DHHStabletext"/>
            </w:pPr>
            <w:r>
              <w:t>Admitted s</w:t>
            </w:r>
            <w:r w:rsidRPr="00B6014D">
              <w:t>ub</w:t>
            </w:r>
            <w:r>
              <w:t>acute services</w:t>
            </w:r>
          </w:p>
        </w:tc>
        <w:tc>
          <w:tcPr>
            <w:tcW w:w="1064" w:type="pct"/>
          </w:tcPr>
          <w:p w:rsidR="004307E9" w:rsidRPr="00334797" w:rsidRDefault="004307E9" w:rsidP="0010645A">
            <w:pPr>
              <w:pStyle w:val="DHHStabletext"/>
            </w:pPr>
            <w:r>
              <w:t>-</w:t>
            </w:r>
          </w:p>
        </w:tc>
        <w:tc>
          <w:tcPr>
            <w:tcW w:w="1033" w:type="pct"/>
            <w:vMerge/>
          </w:tcPr>
          <w:p w:rsidR="004307E9" w:rsidRDefault="004307E9" w:rsidP="0010645A">
            <w:pPr>
              <w:pStyle w:val="DHHStabletext"/>
            </w:pPr>
          </w:p>
        </w:tc>
      </w:tr>
      <w:tr w:rsidR="004307E9" w:rsidTr="0010645A">
        <w:tc>
          <w:tcPr>
            <w:tcW w:w="887" w:type="pct"/>
            <w:vMerge/>
          </w:tcPr>
          <w:p w:rsidR="004307E9" w:rsidRPr="00B6014D" w:rsidRDefault="004307E9" w:rsidP="0010645A">
            <w:pPr>
              <w:pStyle w:val="DHHStabletext"/>
            </w:pPr>
          </w:p>
        </w:tc>
        <w:tc>
          <w:tcPr>
            <w:tcW w:w="2016" w:type="pct"/>
          </w:tcPr>
          <w:p w:rsidR="004307E9" w:rsidRPr="00B6014D" w:rsidRDefault="004307E9" w:rsidP="0010645A">
            <w:pPr>
              <w:pStyle w:val="DHHStabletext"/>
            </w:pPr>
            <w:r w:rsidRPr="00B6014D">
              <w:t>Emergency</w:t>
            </w:r>
            <w:r>
              <w:t xml:space="preserve"> services </w:t>
            </w:r>
          </w:p>
        </w:tc>
        <w:tc>
          <w:tcPr>
            <w:tcW w:w="1064" w:type="pct"/>
          </w:tcPr>
          <w:p w:rsidR="004307E9" w:rsidRPr="00334797" w:rsidRDefault="004307E9" w:rsidP="0010645A">
            <w:pPr>
              <w:pStyle w:val="DHHStabletext"/>
            </w:pPr>
            <w:r>
              <w:t>-</w:t>
            </w:r>
          </w:p>
        </w:tc>
        <w:tc>
          <w:tcPr>
            <w:tcW w:w="1033" w:type="pct"/>
            <w:vMerge/>
          </w:tcPr>
          <w:p w:rsidR="004307E9" w:rsidRPr="00FE072F" w:rsidRDefault="004307E9" w:rsidP="0010645A">
            <w:pPr>
              <w:pStyle w:val="DHHStabletext"/>
              <w:rPr>
                <w:b/>
              </w:rPr>
            </w:pPr>
          </w:p>
        </w:tc>
      </w:tr>
      <w:tr w:rsidR="004307E9" w:rsidTr="0010645A">
        <w:tc>
          <w:tcPr>
            <w:tcW w:w="887" w:type="pct"/>
            <w:vMerge/>
          </w:tcPr>
          <w:p w:rsidR="004307E9" w:rsidRPr="00B6014D" w:rsidRDefault="004307E9" w:rsidP="0010645A">
            <w:pPr>
              <w:pStyle w:val="DHHStabletext"/>
            </w:pPr>
          </w:p>
        </w:tc>
        <w:tc>
          <w:tcPr>
            <w:tcW w:w="2016" w:type="pct"/>
          </w:tcPr>
          <w:p w:rsidR="004307E9" w:rsidRPr="00B6014D" w:rsidRDefault="004307E9" w:rsidP="0010645A">
            <w:pPr>
              <w:pStyle w:val="DHHStabletext"/>
            </w:pPr>
            <w:r w:rsidRPr="00B6014D">
              <w:t>Non-admitted</w:t>
            </w:r>
            <w:r>
              <w:t xml:space="preserve"> services</w:t>
            </w:r>
          </w:p>
        </w:tc>
        <w:tc>
          <w:tcPr>
            <w:tcW w:w="1064" w:type="pct"/>
          </w:tcPr>
          <w:p w:rsidR="004307E9" w:rsidRPr="00334797" w:rsidRDefault="004307E9" w:rsidP="0010645A">
            <w:pPr>
              <w:pStyle w:val="DHHStabletext"/>
            </w:pPr>
            <w:r>
              <w:t>-</w:t>
            </w:r>
          </w:p>
        </w:tc>
        <w:tc>
          <w:tcPr>
            <w:tcW w:w="1033" w:type="pct"/>
            <w:vMerge/>
          </w:tcPr>
          <w:p w:rsidR="004307E9" w:rsidRPr="00FE072F" w:rsidRDefault="004307E9" w:rsidP="0010645A">
            <w:pPr>
              <w:pStyle w:val="DHHStabletext"/>
              <w:rPr>
                <w:b/>
              </w:rPr>
            </w:pPr>
          </w:p>
        </w:tc>
      </w:tr>
      <w:tr w:rsidR="004307E9" w:rsidTr="0010645A">
        <w:tc>
          <w:tcPr>
            <w:tcW w:w="887" w:type="pct"/>
            <w:vMerge w:val="restart"/>
          </w:tcPr>
          <w:p w:rsidR="004307E9" w:rsidRPr="007D3C0C" w:rsidRDefault="004307E9" w:rsidP="0010645A">
            <w:pPr>
              <w:pStyle w:val="DHHStabletext"/>
            </w:pPr>
            <w:r>
              <w:t>Block Funding</w:t>
            </w:r>
          </w:p>
        </w:tc>
        <w:tc>
          <w:tcPr>
            <w:tcW w:w="2016" w:type="pct"/>
          </w:tcPr>
          <w:p w:rsidR="004307E9" w:rsidRPr="00B6014D" w:rsidRDefault="004307E9" w:rsidP="0010645A">
            <w:pPr>
              <w:pStyle w:val="DHHStabletext"/>
            </w:pPr>
            <w:r w:rsidRPr="00B6014D">
              <w:t>Non-admitted</w:t>
            </w:r>
            <w:r>
              <w:t xml:space="preserve"> mental health services</w:t>
            </w:r>
          </w:p>
        </w:tc>
        <w:tc>
          <w:tcPr>
            <w:tcW w:w="1064" w:type="pct"/>
            <w:vMerge w:val="restart"/>
          </w:tcPr>
          <w:p w:rsidR="004307E9" w:rsidRDefault="004307E9" w:rsidP="0010645A">
            <w:pPr>
              <w:pStyle w:val="DHHStabletext"/>
            </w:pPr>
            <w:r>
              <w:t>-</w:t>
            </w:r>
          </w:p>
        </w:tc>
        <w:tc>
          <w:tcPr>
            <w:tcW w:w="1033" w:type="pct"/>
            <w:vMerge w:val="restart"/>
          </w:tcPr>
          <w:p w:rsidR="004307E9" w:rsidRPr="00FF0AFC" w:rsidRDefault="004307E9" w:rsidP="0010645A">
            <w:pPr>
              <w:pStyle w:val="DHHStabletext"/>
            </w:pPr>
            <w:r w:rsidRPr="00FF0AFC">
              <w:t>-</w:t>
            </w:r>
          </w:p>
        </w:tc>
      </w:tr>
      <w:tr w:rsidR="004307E9" w:rsidTr="0010645A">
        <w:tc>
          <w:tcPr>
            <w:tcW w:w="887" w:type="pct"/>
            <w:vMerge/>
          </w:tcPr>
          <w:p w:rsidR="004307E9" w:rsidRPr="007D3C0C" w:rsidRDefault="004307E9" w:rsidP="0010645A">
            <w:pPr>
              <w:pStyle w:val="DHHStabletext"/>
            </w:pPr>
          </w:p>
        </w:tc>
        <w:tc>
          <w:tcPr>
            <w:tcW w:w="2016" w:type="pct"/>
          </w:tcPr>
          <w:p w:rsidR="004307E9" w:rsidRPr="005E6246" w:rsidRDefault="004307E9" w:rsidP="0010645A">
            <w:pPr>
              <w:pStyle w:val="DHHStabletext"/>
            </w:pPr>
            <w:r w:rsidRPr="005E6246">
              <w:t xml:space="preserve">Teaching, </w:t>
            </w:r>
            <w:r>
              <w:t>t</w:t>
            </w:r>
            <w:r w:rsidRPr="005E6246">
              <w:t>raining and research</w:t>
            </w:r>
          </w:p>
        </w:tc>
        <w:tc>
          <w:tcPr>
            <w:tcW w:w="1064" w:type="pct"/>
            <w:vMerge/>
          </w:tcPr>
          <w:p w:rsidR="004307E9" w:rsidRPr="008B3344" w:rsidRDefault="004307E9" w:rsidP="0010645A">
            <w:pPr>
              <w:pStyle w:val="DHHStabletext"/>
            </w:pPr>
          </w:p>
        </w:tc>
        <w:tc>
          <w:tcPr>
            <w:tcW w:w="1033" w:type="pct"/>
            <w:vMerge/>
          </w:tcPr>
          <w:p w:rsidR="004307E9" w:rsidRPr="00FE072F" w:rsidRDefault="004307E9" w:rsidP="0010645A">
            <w:pPr>
              <w:pStyle w:val="DHHStabletext"/>
              <w:jc w:val="center"/>
              <w:rPr>
                <w:b/>
              </w:rPr>
            </w:pPr>
          </w:p>
        </w:tc>
      </w:tr>
      <w:tr w:rsidR="004307E9" w:rsidTr="0010645A">
        <w:tc>
          <w:tcPr>
            <w:tcW w:w="887" w:type="pct"/>
            <w:vMerge/>
          </w:tcPr>
          <w:p w:rsidR="004307E9" w:rsidRPr="007D3C0C" w:rsidRDefault="004307E9" w:rsidP="0010645A">
            <w:pPr>
              <w:pStyle w:val="DHHStabletext"/>
            </w:pPr>
          </w:p>
        </w:tc>
        <w:tc>
          <w:tcPr>
            <w:tcW w:w="2016" w:type="pct"/>
          </w:tcPr>
          <w:p w:rsidR="004307E9" w:rsidRPr="005E6246" w:rsidRDefault="004307E9" w:rsidP="0010645A">
            <w:pPr>
              <w:pStyle w:val="DHHStabletext"/>
            </w:pPr>
            <w:r w:rsidRPr="005E6246">
              <w:t>Other non-admitted services</w:t>
            </w:r>
          </w:p>
        </w:tc>
        <w:tc>
          <w:tcPr>
            <w:tcW w:w="1064" w:type="pct"/>
            <w:vMerge/>
          </w:tcPr>
          <w:p w:rsidR="004307E9" w:rsidRPr="008B3344" w:rsidRDefault="004307E9" w:rsidP="0010645A">
            <w:pPr>
              <w:pStyle w:val="DHHStabletext"/>
            </w:pPr>
          </w:p>
        </w:tc>
        <w:tc>
          <w:tcPr>
            <w:tcW w:w="1033" w:type="pct"/>
            <w:vMerge/>
          </w:tcPr>
          <w:p w:rsidR="004307E9" w:rsidRPr="00FE072F" w:rsidRDefault="004307E9" w:rsidP="0010645A">
            <w:pPr>
              <w:pStyle w:val="DHHStabletext"/>
              <w:jc w:val="center"/>
              <w:rPr>
                <w:b/>
              </w:rPr>
            </w:pPr>
          </w:p>
        </w:tc>
      </w:tr>
      <w:tr w:rsidR="004307E9" w:rsidTr="0010645A">
        <w:tc>
          <w:tcPr>
            <w:tcW w:w="887" w:type="pct"/>
          </w:tcPr>
          <w:p w:rsidR="004307E9" w:rsidRDefault="004307E9" w:rsidP="0010645A">
            <w:pPr>
              <w:pStyle w:val="DHHStabletext"/>
            </w:pPr>
            <w:r w:rsidRPr="007D3C0C">
              <w:t>Other Funding</w:t>
            </w:r>
          </w:p>
        </w:tc>
        <w:tc>
          <w:tcPr>
            <w:tcW w:w="2016" w:type="pct"/>
          </w:tcPr>
          <w:p w:rsidR="004307E9" w:rsidRPr="00FE072F" w:rsidRDefault="004307E9" w:rsidP="0010645A">
            <w:pPr>
              <w:pStyle w:val="DHHStabletext"/>
              <w:rPr>
                <w:b/>
              </w:rPr>
            </w:pPr>
          </w:p>
        </w:tc>
        <w:tc>
          <w:tcPr>
            <w:tcW w:w="1064" w:type="pct"/>
          </w:tcPr>
          <w:p w:rsidR="004307E9" w:rsidRPr="008B3344" w:rsidRDefault="004307E9" w:rsidP="0010645A">
            <w:pPr>
              <w:pStyle w:val="DHHStabletext"/>
            </w:pPr>
            <w:r>
              <w:t>-</w:t>
            </w:r>
          </w:p>
        </w:tc>
        <w:tc>
          <w:tcPr>
            <w:tcW w:w="1033" w:type="pct"/>
          </w:tcPr>
          <w:p w:rsidR="004307E9" w:rsidRPr="00FF0AFC" w:rsidRDefault="004307E9" w:rsidP="0010645A">
            <w:pPr>
              <w:pStyle w:val="DHHStabletext"/>
            </w:pPr>
            <w:r w:rsidRPr="00F53B90">
              <w:t>2,169,078</w:t>
            </w:r>
          </w:p>
        </w:tc>
      </w:tr>
      <w:tr w:rsidR="004307E9" w:rsidTr="0010645A">
        <w:tc>
          <w:tcPr>
            <w:tcW w:w="887" w:type="pct"/>
          </w:tcPr>
          <w:p w:rsidR="004307E9" w:rsidRPr="00FE072F" w:rsidRDefault="004307E9" w:rsidP="0010645A">
            <w:pPr>
              <w:pStyle w:val="DHHStabletext"/>
              <w:rPr>
                <w:b/>
              </w:rPr>
            </w:pPr>
            <w:r w:rsidRPr="00FE072F">
              <w:rPr>
                <w:b/>
              </w:rPr>
              <w:t>Total</w:t>
            </w:r>
          </w:p>
        </w:tc>
        <w:tc>
          <w:tcPr>
            <w:tcW w:w="2016" w:type="pct"/>
          </w:tcPr>
          <w:p w:rsidR="004307E9" w:rsidRPr="00D4285F" w:rsidRDefault="004307E9" w:rsidP="0010645A">
            <w:pPr>
              <w:pStyle w:val="DHHStabletext"/>
              <w:rPr>
                <w:b/>
              </w:rPr>
            </w:pPr>
          </w:p>
        </w:tc>
        <w:tc>
          <w:tcPr>
            <w:tcW w:w="1064" w:type="pct"/>
          </w:tcPr>
          <w:p w:rsidR="004307E9" w:rsidRPr="00D4285F" w:rsidRDefault="004307E9" w:rsidP="0010645A">
            <w:pPr>
              <w:pStyle w:val="DHHStabletext"/>
              <w:rPr>
                <w:b/>
              </w:rPr>
            </w:pPr>
            <w:r w:rsidRPr="00D4285F">
              <w:rPr>
                <w:b/>
              </w:rPr>
              <w:t>-</w:t>
            </w:r>
          </w:p>
        </w:tc>
        <w:tc>
          <w:tcPr>
            <w:tcW w:w="1033" w:type="pct"/>
          </w:tcPr>
          <w:p w:rsidR="004307E9" w:rsidRPr="00D4285F" w:rsidRDefault="004307E9" w:rsidP="0010645A">
            <w:pPr>
              <w:pStyle w:val="DHHStabletext"/>
              <w:rPr>
                <w:b/>
              </w:rPr>
            </w:pPr>
            <w:r w:rsidRPr="00D4285F">
              <w:rPr>
                <w:b/>
              </w:rPr>
              <w:t>2,169,078</w:t>
            </w:r>
          </w:p>
        </w:tc>
      </w:tr>
    </w:tbl>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Default="00971B80" w:rsidP="006802AC">
      <w:pPr>
        <w:pStyle w:val="DHHSbody"/>
      </w:pPr>
    </w:p>
    <w:p w:rsidR="00971B80" w:rsidRPr="00971B80" w:rsidRDefault="00971B80" w:rsidP="006802AC">
      <w:pPr>
        <w:pStyle w:val="DHHSbody"/>
      </w:pPr>
    </w:p>
    <w:p w:rsidR="0043614D" w:rsidRPr="00CF07F3" w:rsidRDefault="0043614D" w:rsidP="006802AC">
      <w:pPr>
        <w:keepNext/>
        <w:keepLines/>
        <w:spacing w:before="280" w:after="120" w:line="280" w:lineRule="atLeast"/>
        <w:outlineLvl w:val="2"/>
        <w:rPr>
          <w:rFonts w:ascii="Arial" w:hAnsi="Arial"/>
        </w:rPr>
      </w:pPr>
      <w:r w:rsidRPr="00CF07F3">
        <w:rPr>
          <w:rFonts w:ascii="Arial" w:hAnsi="Arial"/>
        </w:rPr>
        <w:t>Note:</w:t>
      </w:r>
    </w:p>
    <w:p w:rsidR="0043614D" w:rsidRPr="00FE072F" w:rsidRDefault="0043614D" w:rsidP="00A24945">
      <w:pPr>
        <w:pStyle w:val="DHHSbullet1"/>
        <w:numPr>
          <w:ilvl w:val="0"/>
          <w:numId w:val="19"/>
        </w:numPr>
      </w:pPr>
      <w:r w:rsidRPr="00FE072F">
        <w:t xml:space="preserve">Estimated National Weighted Activity Unit may be amended by the Department following the finalisation of the </w:t>
      </w:r>
      <w:r>
        <w:t>2016</w:t>
      </w:r>
      <w:r w:rsidRPr="00440A34">
        <w:t>–</w:t>
      </w:r>
      <w:r>
        <w:t>17</w:t>
      </w:r>
      <w:r w:rsidRPr="00FE072F">
        <w:t xml:space="preserve"> reconciliation by the Administrator of t</w:t>
      </w:r>
      <w:r>
        <w:t>he National Health Funding Pool</w:t>
      </w:r>
      <w:r w:rsidR="00B230A0">
        <w:t>.</w:t>
      </w:r>
    </w:p>
    <w:p w:rsidR="0043614D" w:rsidRDefault="0043614D" w:rsidP="00A24945">
      <w:pPr>
        <w:pStyle w:val="DHHSbullet1"/>
        <w:numPr>
          <w:ilvl w:val="0"/>
          <w:numId w:val="19"/>
        </w:numPr>
      </w:pPr>
      <w:r w:rsidRPr="00FE072F">
        <w:t>Activity loadings are included in the Estimated National Weighted Activity Units (i.e. Paediatric, Indigenous, Remoteness, Intensive Care Unit, Private Patient Service Adjustment, and Private Patient Accom</w:t>
      </w:r>
      <w:r>
        <w:t>modation Adjustment)</w:t>
      </w:r>
      <w:r w:rsidR="00B230A0">
        <w:t>.</w:t>
      </w:r>
    </w:p>
    <w:p w:rsidR="0043614D" w:rsidRPr="00181055" w:rsidRDefault="0043614D" w:rsidP="00A24945">
      <w:pPr>
        <w:pStyle w:val="DHHSbullet1"/>
        <w:numPr>
          <w:ilvl w:val="0"/>
          <w:numId w:val="19"/>
        </w:numPr>
      </w:pPr>
      <w:r w:rsidRPr="00FE072F">
        <w:t>In situations w</w:t>
      </w:r>
      <w:r w:rsidR="00B230A0">
        <w:t>here a change is required to</w:t>
      </w:r>
      <w:r w:rsidRPr="00FE072F">
        <w:t xml:space="preserve"> Part D, changes to the agreement will be actioned through an exchange of letters between the Department and the Health Service Chief Executive Officer.</w:t>
      </w:r>
      <w:r>
        <w:br/>
      </w:r>
    </w:p>
    <w:p w:rsidR="0043614D" w:rsidRPr="00FE072F" w:rsidRDefault="0043614D" w:rsidP="006802AC">
      <w:pPr>
        <w:pStyle w:val="DHHSbody"/>
      </w:pPr>
      <w:r w:rsidRPr="00FE072F">
        <w:t>Ambulance Victoria</w:t>
      </w:r>
      <w:r>
        <w:t xml:space="preserve"> and</w:t>
      </w:r>
      <w:r w:rsidRPr="00FE072F">
        <w:t xml:space="preserve"> Dental Health Services Victoria do not receive a Commonwealth funding contribution under the National Health Reform Agreement</w:t>
      </w:r>
      <w:r>
        <w:t xml:space="preserve">. </w:t>
      </w:r>
      <w:r w:rsidRPr="00FE072F">
        <w:t>Dental Health Services Victoria</w:t>
      </w:r>
      <w:r>
        <w:t xml:space="preserve"> receives Commonwealth funding through the National Partnership Agreement.</w:t>
      </w:r>
    </w:p>
    <w:bookmarkEnd w:id="42"/>
    <w:p w:rsidR="0043614D" w:rsidRPr="000064F2" w:rsidRDefault="0043614D" w:rsidP="006802AC">
      <w:pPr>
        <w:pStyle w:val="DHHSbody"/>
      </w:pPr>
      <w:r w:rsidRPr="000064F2">
        <w:t xml:space="preserve"> </w:t>
      </w:r>
    </w:p>
    <w:p w:rsidR="00920FD5" w:rsidRPr="00C62E65" w:rsidRDefault="00920FD5" w:rsidP="009668AF">
      <w:pPr>
        <w:pStyle w:val="Heading1"/>
        <w:ind w:left="-142"/>
        <w:rPr>
          <w:color w:val="7030A0"/>
        </w:rPr>
      </w:pPr>
      <w:bookmarkStart w:id="43" w:name="_Toc491256447"/>
      <w:bookmarkStart w:id="44" w:name="_Toc491257354"/>
      <w:bookmarkStart w:id="45" w:name="_Toc492973381"/>
      <w:r w:rsidRPr="00C62E65">
        <w:rPr>
          <w:color w:val="7030A0"/>
        </w:rPr>
        <w:t>Accountability and funding requirements</w:t>
      </w:r>
      <w:bookmarkEnd w:id="43"/>
      <w:bookmarkEnd w:id="44"/>
      <w:bookmarkEnd w:id="45"/>
    </w:p>
    <w:p w:rsidR="006C3F79" w:rsidRPr="002E555E" w:rsidRDefault="006C3F79" w:rsidP="009668AF">
      <w:pPr>
        <w:pStyle w:val="DHHSbody"/>
        <w:ind w:left="142" w:right="114" w:hanging="284"/>
      </w:pPr>
      <w:bookmarkStart w:id="46" w:name="_Toc134931848"/>
      <w:r w:rsidRPr="002E555E">
        <w:t>The health service must comply with:</w:t>
      </w:r>
      <w:bookmarkEnd w:id="46"/>
    </w:p>
    <w:p w:rsidR="006C3F79" w:rsidRPr="00BE065F" w:rsidRDefault="002E555E" w:rsidP="009668AF">
      <w:pPr>
        <w:pStyle w:val="DHHSbullet1"/>
        <w:numPr>
          <w:ilvl w:val="0"/>
          <w:numId w:val="19"/>
        </w:numPr>
        <w:ind w:left="142" w:right="114"/>
        <w:jc w:val="both"/>
      </w:pPr>
      <w:r>
        <w:t>A</w:t>
      </w:r>
      <w:r w:rsidR="006C3F79" w:rsidRPr="00BE065F">
        <w:t>ll laws applicable to it</w:t>
      </w:r>
      <w:r w:rsidR="006C3F79">
        <w:t>;</w:t>
      </w:r>
    </w:p>
    <w:p w:rsidR="006C3F79" w:rsidRPr="00D13474" w:rsidRDefault="002E555E" w:rsidP="009668AF">
      <w:pPr>
        <w:pStyle w:val="DHHSbullet1"/>
        <w:numPr>
          <w:ilvl w:val="0"/>
          <w:numId w:val="19"/>
        </w:numPr>
        <w:ind w:left="142" w:right="114"/>
        <w:jc w:val="both"/>
      </w:pPr>
      <w:r>
        <w:t>T</w:t>
      </w:r>
      <w:r w:rsidR="006C3F79" w:rsidRPr="00D13474">
        <w:t>he National Health Reform Agreement</w:t>
      </w:r>
      <w:r w:rsidR="006C3F79">
        <w:t>;</w:t>
      </w:r>
    </w:p>
    <w:p w:rsidR="006C3F79" w:rsidRPr="00BE065F" w:rsidRDefault="002E555E" w:rsidP="009668AF">
      <w:pPr>
        <w:pStyle w:val="DHHSbullet1"/>
        <w:numPr>
          <w:ilvl w:val="0"/>
          <w:numId w:val="19"/>
        </w:numPr>
        <w:ind w:left="142" w:right="114"/>
        <w:jc w:val="both"/>
      </w:pPr>
      <w:r>
        <w:t>A</w:t>
      </w:r>
      <w:r w:rsidR="006C3F79" w:rsidRPr="00BE065F">
        <w:t xml:space="preserve">ll applicable requirements, policies, terms or conditions of funding specified or referred to in the </w:t>
      </w:r>
      <w:r w:rsidR="00543C07">
        <w:rPr>
          <w:i/>
        </w:rPr>
        <w:t>Department of Health and Human Services</w:t>
      </w:r>
      <w:r w:rsidR="006C3F79" w:rsidRPr="00B41776">
        <w:rPr>
          <w:i/>
        </w:rPr>
        <w:t xml:space="preserve"> policy and funding guidelines 201</w:t>
      </w:r>
      <w:r>
        <w:rPr>
          <w:i/>
        </w:rPr>
        <w:t>7</w:t>
      </w:r>
      <w:r w:rsidR="006C3F79">
        <w:rPr>
          <w:i/>
        </w:rPr>
        <w:t>;</w:t>
      </w:r>
    </w:p>
    <w:p w:rsidR="006C3F79" w:rsidRPr="00BE065F" w:rsidRDefault="002E555E" w:rsidP="009668AF">
      <w:pPr>
        <w:pStyle w:val="DHHSbullet1"/>
        <w:numPr>
          <w:ilvl w:val="0"/>
          <w:numId w:val="19"/>
        </w:numPr>
        <w:ind w:left="142" w:right="114"/>
        <w:jc w:val="both"/>
      </w:pPr>
      <w:r>
        <w:t>P</w:t>
      </w:r>
      <w:r w:rsidR="006C3F79" w:rsidRPr="00BE065F">
        <w:t xml:space="preserve">olicies and procedures and appropriate internal controls to ensure accurate and timely submission of data to the </w:t>
      </w:r>
      <w:r w:rsidR="00D56B25">
        <w:rPr>
          <w:lang w:eastAsia="en-AU"/>
        </w:rPr>
        <w:t>Department of Health and Human Service</w:t>
      </w:r>
      <w:r w:rsidR="008A1650">
        <w:rPr>
          <w:lang w:eastAsia="en-AU"/>
        </w:rPr>
        <w:t>s</w:t>
      </w:r>
      <w:r w:rsidR="006C3F79">
        <w:t>;</w:t>
      </w:r>
    </w:p>
    <w:p w:rsidR="006C3F79" w:rsidRPr="00BE065F" w:rsidRDefault="002E555E" w:rsidP="009668AF">
      <w:pPr>
        <w:pStyle w:val="DHHSbullet1"/>
        <w:numPr>
          <w:ilvl w:val="0"/>
          <w:numId w:val="19"/>
        </w:numPr>
        <w:ind w:left="142" w:right="114"/>
        <w:jc w:val="both"/>
      </w:pPr>
      <w:r>
        <w:t>A</w:t>
      </w:r>
      <w:r w:rsidR="006C3F79" w:rsidRPr="00BE065F">
        <w:t xml:space="preserve">ll applicable policies and guidelines issued by the </w:t>
      </w:r>
      <w:r w:rsidR="00D56B25">
        <w:rPr>
          <w:lang w:eastAsia="en-AU"/>
        </w:rPr>
        <w:t>Department of Health and Human Service</w:t>
      </w:r>
      <w:r w:rsidR="008A1650">
        <w:rPr>
          <w:lang w:eastAsia="en-AU"/>
        </w:rPr>
        <w:t>s</w:t>
      </w:r>
      <w:r w:rsidR="00D56B25">
        <w:rPr>
          <w:lang w:eastAsia="en-AU"/>
        </w:rPr>
        <w:t xml:space="preserve"> </w:t>
      </w:r>
      <w:r w:rsidR="006C3F79" w:rsidRPr="00BE065F">
        <w:t>from time to time and notified to the health service</w:t>
      </w:r>
      <w:r w:rsidR="006C3F79">
        <w:t>;</w:t>
      </w:r>
    </w:p>
    <w:p w:rsidR="006C3F79" w:rsidRPr="00BE065F" w:rsidRDefault="002E555E" w:rsidP="009668AF">
      <w:pPr>
        <w:pStyle w:val="DHHSbullet1"/>
        <w:numPr>
          <w:ilvl w:val="0"/>
          <w:numId w:val="19"/>
        </w:numPr>
        <w:ind w:left="142" w:right="114"/>
        <w:jc w:val="both"/>
      </w:pPr>
      <w:r>
        <w:t>W</w:t>
      </w:r>
      <w:r w:rsidR="006C3F79" w:rsidRPr="00BE065F">
        <w:t xml:space="preserve">here applicable, all terms and conditions specified in an agreement between the health service and the </w:t>
      </w:r>
      <w:r w:rsidR="00D56B25">
        <w:rPr>
          <w:lang w:eastAsia="en-AU"/>
        </w:rPr>
        <w:t>Department of Health and Human Service</w:t>
      </w:r>
      <w:r w:rsidR="008A1650">
        <w:rPr>
          <w:lang w:eastAsia="en-AU"/>
        </w:rPr>
        <w:t>s</w:t>
      </w:r>
      <w:r w:rsidR="00D56B25">
        <w:rPr>
          <w:lang w:eastAsia="en-AU"/>
        </w:rPr>
        <w:t xml:space="preserve"> </w:t>
      </w:r>
      <w:r w:rsidR="006C3F79" w:rsidRPr="00BE065F">
        <w:t xml:space="preserve">relating to the provision of health services which is in force at any time during the </w:t>
      </w:r>
      <w:r w:rsidR="008A1650" w:rsidRPr="00BE065F">
        <w:t>201</w:t>
      </w:r>
      <w:r w:rsidR="00543C07">
        <w:t>7</w:t>
      </w:r>
      <w:r w:rsidR="006C3F79">
        <w:noBreakHyphen/>
      </w:r>
      <w:r w:rsidR="008A1650" w:rsidRPr="00BE065F">
        <w:t>1</w:t>
      </w:r>
      <w:r w:rsidR="00543C07">
        <w:t>8</w:t>
      </w:r>
      <w:r w:rsidR="008A1650" w:rsidRPr="00BE065F">
        <w:t xml:space="preserve"> </w:t>
      </w:r>
      <w:r w:rsidR="006C3F79" w:rsidRPr="00BE065F">
        <w:t>financial year</w:t>
      </w:r>
      <w:r w:rsidR="006C3F79">
        <w:t>; and</w:t>
      </w:r>
    </w:p>
    <w:p w:rsidR="006C3F79" w:rsidRDefault="002E555E" w:rsidP="009668AF">
      <w:pPr>
        <w:pStyle w:val="DHHSbullet1"/>
        <w:numPr>
          <w:ilvl w:val="0"/>
          <w:numId w:val="19"/>
        </w:numPr>
        <w:ind w:left="142" w:right="114"/>
        <w:jc w:val="both"/>
      </w:pPr>
      <w:r>
        <w:t>R</w:t>
      </w:r>
      <w:r w:rsidR="006C3F79" w:rsidRPr="00BE065F">
        <w:t>elevant standards for particular programs which have been adopted e.g. International Organisation for Standardisation standards and AS/NZS 4801:2001, Occupational Health and Safety Management Systems or an equivalent standard</w:t>
      </w:r>
      <w:r w:rsidR="006C3F79">
        <w:t>.</w:t>
      </w:r>
    </w:p>
    <w:p w:rsidR="002E555E" w:rsidRDefault="002E555E" w:rsidP="009668AF">
      <w:pPr>
        <w:pStyle w:val="DHHSbullet1"/>
        <w:numPr>
          <w:ilvl w:val="0"/>
          <w:numId w:val="0"/>
        </w:numPr>
        <w:ind w:left="142" w:right="114" w:hanging="284"/>
        <w:jc w:val="both"/>
      </w:pPr>
    </w:p>
    <w:p w:rsidR="00AA40E0" w:rsidRDefault="00AA40E0" w:rsidP="009668AF">
      <w:pPr>
        <w:pStyle w:val="DHHSbullet1"/>
        <w:numPr>
          <w:ilvl w:val="0"/>
          <w:numId w:val="0"/>
        </w:numPr>
        <w:ind w:left="-142" w:right="114"/>
        <w:jc w:val="both"/>
      </w:pPr>
    </w:p>
    <w:p w:rsidR="00AA40E0" w:rsidRDefault="00AA40E0" w:rsidP="009668AF">
      <w:pPr>
        <w:pStyle w:val="DHHSbullet1"/>
        <w:numPr>
          <w:ilvl w:val="0"/>
          <w:numId w:val="0"/>
        </w:numPr>
        <w:ind w:left="-142" w:right="114"/>
        <w:jc w:val="both"/>
      </w:pPr>
    </w:p>
    <w:p w:rsidR="003272E8" w:rsidRPr="00B507D8" w:rsidRDefault="003272E8" w:rsidP="00C971A2">
      <w:pPr>
        <w:pStyle w:val="DHHSbullet1"/>
        <w:numPr>
          <w:ilvl w:val="0"/>
          <w:numId w:val="0"/>
        </w:numPr>
        <w:spacing w:before="520" w:after="440"/>
        <w:jc w:val="both"/>
        <w:rPr>
          <w:color w:val="004EA8"/>
          <w:sz w:val="44"/>
          <w:szCs w:val="44"/>
        </w:rPr>
      </w:pPr>
      <w:r w:rsidRPr="003272E8">
        <w:rPr>
          <w:color w:val="7030A0"/>
          <w:sz w:val="44"/>
          <w:szCs w:val="44"/>
        </w:rPr>
        <w:t>Signature</w:t>
      </w:r>
    </w:p>
    <w:p w:rsidR="003272E8" w:rsidRDefault="003272E8" w:rsidP="00C971A2">
      <w:pPr>
        <w:pStyle w:val="DHHSbody"/>
        <w:jc w:val="both"/>
      </w:pPr>
      <w:r w:rsidRPr="000D30BE">
        <w:t xml:space="preserve">The </w:t>
      </w:r>
      <w:r>
        <w:t>Secretary</w:t>
      </w:r>
      <w:r w:rsidRPr="000D30BE">
        <w:t xml:space="preserve"> and the health service board chairperson agree that funding will be provided to the health </w:t>
      </w:r>
      <w:r w:rsidRPr="00A13B27">
        <w:t>service to enable the health service to meet its service obligations and performance requirements as outlined in this Statement of Priorities.</w:t>
      </w:r>
    </w:p>
    <w:p w:rsidR="00201252" w:rsidRDefault="00201252" w:rsidP="00201252">
      <w:pPr>
        <w:pStyle w:val="DHHSbody"/>
        <w:jc w:val="both"/>
      </w:pPr>
    </w:p>
    <w:p w:rsidR="00094A53" w:rsidRDefault="00094A53" w:rsidP="00201252">
      <w:pPr>
        <w:pStyle w:val="DHHSbody"/>
        <w:jc w:val="both"/>
      </w:pPr>
    </w:p>
    <w:p w:rsidR="00201252" w:rsidRDefault="00201252" w:rsidP="00201252">
      <w:pPr>
        <w:pStyle w:val="DHHSbody"/>
        <w:jc w:val="both"/>
      </w:pPr>
    </w:p>
    <w:p w:rsidR="00201252" w:rsidRPr="00A13B27" w:rsidRDefault="00201252" w:rsidP="00201252">
      <w:pPr>
        <w:pStyle w:val="DHHSbody"/>
        <w:jc w:val="both"/>
      </w:pPr>
    </w:p>
    <w:tbl>
      <w:tblPr>
        <w:tblW w:w="0" w:type="auto"/>
        <w:tblInd w:w="-142" w:type="dxa"/>
        <w:tblBorders>
          <w:top w:val="single" w:sz="4" w:space="0" w:color="auto"/>
        </w:tblBorders>
        <w:tblCellMar>
          <w:top w:w="170" w:type="dxa"/>
          <w:left w:w="0" w:type="dxa"/>
          <w:right w:w="0" w:type="dxa"/>
        </w:tblCellMar>
        <w:tblLook w:val="0000" w:firstRow="0" w:lastRow="0" w:firstColumn="0" w:lastColumn="0" w:noHBand="0" w:noVBand="0"/>
      </w:tblPr>
      <w:tblGrid>
        <w:gridCol w:w="3330"/>
        <w:gridCol w:w="1710"/>
        <w:gridCol w:w="3571"/>
      </w:tblGrid>
      <w:tr w:rsidR="00B02D8E" w:rsidRPr="000368F3" w:rsidTr="00E01D09">
        <w:tc>
          <w:tcPr>
            <w:tcW w:w="3330" w:type="dxa"/>
            <w:tcBorders>
              <w:top w:val="single" w:sz="4" w:space="0" w:color="auto"/>
            </w:tcBorders>
          </w:tcPr>
          <w:p w:rsidR="00B02D8E" w:rsidRDefault="00B02D8E" w:rsidP="004E6BE8">
            <w:pPr>
              <w:spacing w:line="270" w:lineRule="atLeast"/>
              <w:rPr>
                <w:rFonts w:ascii="Arial" w:hAnsi="Arial"/>
                <w:b/>
                <w:bCs/>
                <w:lang w:val="en-US"/>
              </w:rPr>
            </w:pPr>
            <w:r>
              <w:rPr>
                <w:rFonts w:ascii="Arial" w:hAnsi="Arial"/>
                <w:b/>
                <w:bCs/>
                <w:lang w:val="en-US"/>
              </w:rPr>
              <w:t>Andrew Crow</w:t>
            </w:r>
          </w:p>
          <w:p w:rsidR="00B02D8E" w:rsidRPr="000368F3" w:rsidRDefault="00B02D8E" w:rsidP="004E6BE8">
            <w:pPr>
              <w:spacing w:line="270" w:lineRule="atLeast"/>
              <w:rPr>
                <w:rFonts w:ascii="Arial" w:hAnsi="Arial" w:cs="Arial"/>
                <w:b/>
                <w:bCs/>
              </w:rPr>
            </w:pPr>
            <w:r>
              <w:rPr>
                <w:rFonts w:ascii="Arial" w:hAnsi="Arial"/>
                <w:b/>
                <w:bCs/>
                <w:lang w:val="en-US"/>
              </w:rPr>
              <w:t>Assistant Director, Rural Health as Delegate for the Secretary</w:t>
            </w:r>
            <w:r w:rsidRPr="000D30BE">
              <w:rPr>
                <w:rFonts w:ascii="Arial" w:hAnsi="Arial"/>
                <w:b/>
                <w:bCs/>
                <w:lang w:val="en-US"/>
              </w:rPr>
              <w:t xml:space="preserve"> for</w:t>
            </w:r>
            <w:r>
              <w:rPr>
                <w:rFonts w:ascii="Arial" w:hAnsi="Arial"/>
                <w:b/>
                <w:bCs/>
                <w:lang w:val="en-US"/>
              </w:rPr>
              <w:t xml:space="preserve"> the Department of</w:t>
            </w:r>
            <w:r w:rsidRPr="000D30BE">
              <w:rPr>
                <w:rFonts w:ascii="Arial" w:hAnsi="Arial"/>
                <w:b/>
                <w:bCs/>
                <w:lang w:val="en-US"/>
              </w:rPr>
              <w:t xml:space="preserve"> Health</w:t>
            </w:r>
            <w:r>
              <w:rPr>
                <w:rFonts w:ascii="Arial" w:hAnsi="Arial"/>
                <w:b/>
                <w:bCs/>
                <w:lang w:val="en-US"/>
              </w:rPr>
              <w:t xml:space="preserve"> and Human Services</w:t>
            </w:r>
          </w:p>
        </w:tc>
        <w:tc>
          <w:tcPr>
            <w:tcW w:w="1710" w:type="dxa"/>
            <w:tcBorders>
              <w:top w:val="nil"/>
            </w:tcBorders>
          </w:tcPr>
          <w:p w:rsidR="00B02D8E" w:rsidRPr="000368F3" w:rsidRDefault="00B02D8E" w:rsidP="004E6BE8">
            <w:pPr>
              <w:spacing w:line="270" w:lineRule="atLeast"/>
              <w:rPr>
                <w:rFonts w:ascii="Arial" w:hAnsi="Arial" w:cs="Arial"/>
                <w:b/>
              </w:rPr>
            </w:pPr>
          </w:p>
        </w:tc>
        <w:tc>
          <w:tcPr>
            <w:tcW w:w="3571" w:type="dxa"/>
            <w:tcBorders>
              <w:top w:val="single" w:sz="4" w:space="0" w:color="auto"/>
            </w:tcBorders>
          </w:tcPr>
          <w:p w:rsidR="00B02D8E" w:rsidRDefault="00094A53" w:rsidP="004E6BE8">
            <w:pPr>
              <w:spacing w:line="270" w:lineRule="atLeast"/>
              <w:rPr>
                <w:rFonts w:ascii="Arial" w:hAnsi="Arial" w:cs="Arial"/>
                <w:b/>
                <w:bCs/>
              </w:rPr>
            </w:pPr>
            <w:r>
              <w:rPr>
                <w:rFonts w:ascii="Arial" w:hAnsi="Arial" w:cs="Arial"/>
                <w:b/>
                <w:bCs/>
              </w:rPr>
              <w:t>Mrs Vanessa Healey</w:t>
            </w:r>
          </w:p>
          <w:p w:rsidR="00094A53" w:rsidRDefault="00094A53" w:rsidP="004E6BE8">
            <w:pPr>
              <w:spacing w:line="270" w:lineRule="atLeast"/>
              <w:rPr>
                <w:rFonts w:ascii="Arial" w:hAnsi="Arial" w:cs="Arial"/>
                <w:b/>
                <w:bCs/>
              </w:rPr>
            </w:pPr>
            <w:r>
              <w:rPr>
                <w:rFonts w:ascii="Arial" w:hAnsi="Arial" w:cs="Arial"/>
                <w:b/>
                <w:bCs/>
              </w:rPr>
              <w:t>Chairperson</w:t>
            </w:r>
          </w:p>
          <w:p w:rsidR="00094A53" w:rsidRPr="000368F3" w:rsidRDefault="00094A53" w:rsidP="004E6BE8">
            <w:pPr>
              <w:spacing w:line="270" w:lineRule="atLeast"/>
              <w:rPr>
                <w:rFonts w:ascii="Arial" w:hAnsi="Arial" w:cs="Arial"/>
                <w:b/>
                <w:bCs/>
                <w:szCs w:val="24"/>
              </w:rPr>
            </w:pPr>
            <w:r>
              <w:rPr>
                <w:rFonts w:ascii="Arial" w:hAnsi="Arial" w:cs="Arial"/>
                <w:b/>
                <w:bCs/>
              </w:rPr>
              <w:t>Maldon Hospital</w:t>
            </w:r>
          </w:p>
        </w:tc>
      </w:tr>
      <w:tr w:rsidR="00B02D8E" w:rsidRPr="000368F3" w:rsidTr="00E01D09">
        <w:tc>
          <w:tcPr>
            <w:tcW w:w="3330" w:type="dxa"/>
          </w:tcPr>
          <w:p w:rsidR="00B02D8E" w:rsidRPr="000368F3" w:rsidRDefault="00B02D8E" w:rsidP="004E6BE8">
            <w:pPr>
              <w:spacing w:after="120" w:line="270" w:lineRule="atLeast"/>
              <w:rPr>
                <w:rFonts w:ascii="Arial" w:hAnsi="Arial" w:cs="Arial"/>
                <w:b/>
                <w:bCs/>
              </w:rPr>
            </w:pPr>
            <w:r w:rsidRPr="000368F3">
              <w:rPr>
                <w:rFonts w:ascii="Arial" w:hAnsi="Arial" w:cs="Arial"/>
                <w:b/>
                <w:bCs/>
              </w:rPr>
              <w:t>Date:       /       /201</w:t>
            </w:r>
            <w:r>
              <w:rPr>
                <w:rFonts w:ascii="Arial" w:hAnsi="Arial" w:cs="Arial"/>
                <w:b/>
                <w:bCs/>
              </w:rPr>
              <w:t>7</w:t>
            </w:r>
          </w:p>
        </w:tc>
        <w:tc>
          <w:tcPr>
            <w:tcW w:w="1710" w:type="dxa"/>
          </w:tcPr>
          <w:p w:rsidR="00B02D8E" w:rsidRPr="000368F3" w:rsidRDefault="00B02D8E" w:rsidP="004E6BE8">
            <w:pPr>
              <w:spacing w:after="120" w:line="270" w:lineRule="atLeast"/>
              <w:rPr>
                <w:rFonts w:ascii="Arial" w:hAnsi="Arial" w:cs="Arial"/>
                <w:b/>
              </w:rPr>
            </w:pPr>
          </w:p>
        </w:tc>
        <w:tc>
          <w:tcPr>
            <w:tcW w:w="3571" w:type="dxa"/>
          </w:tcPr>
          <w:p w:rsidR="00B02D8E" w:rsidRPr="000368F3" w:rsidRDefault="00B02D8E" w:rsidP="004E6BE8">
            <w:pPr>
              <w:spacing w:after="120" w:line="270" w:lineRule="atLeast"/>
              <w:rPr>
                <w:rFonts w:ascii="Arial" w:hAnsi="Arial" w:cs="Arial"/>
                <w:b/>
                <w:bCs/>
              </w:rPr>
            </w:pPr>
            <w:r>
              <w:rPr>
                <w:rFonts w:ascii="Arial" w:hAnsi="Arial" w:cs="Arial"/>
                <w:b/>
                <w:bCs/>
              </w:rPr>
              <w:t>Date:       /       /2017</w:t>
            </w:r>
          </w:p>
        </w:tc>
      </w:tr>
    </w:tbl>
    <w:p w:rsidR="00A24945" w:rsidRDefault="00A24945" w:rsidP="00FE1CF5">
      <w:pPr>
        <w:pStyle w:val="DHHSbody"/>
        <w:rPr>
          <w:b/>
        </w:rPr>
      </w:pPr>
    </w:p>
    <w:p w:rsidR="00A24945" w:rsidRPr="00A24945" w:rsidRDefault="00A24945" w:rsidP="00A24945"/>
    <w:p w:rsidR="00A24945" w:rsidRPr="00A24945" w:rsidRDefault="00A24945" w:rsidP="00A24945"/>
    <w:p w:rsidR="00A24945" w:rsidRPr="00A24945" w:rsidRDefault="00A24945" w:rsidP="00A24945"/>
    <w:p w:rsidR="00A24945" w:rsidRPr="00A24945" w:rsidRDefault="00A24945" w:rsidP="00A24945"/>
    <w:p w:rsidR="00A24945" w:rsidRPr="00A24945" w:rsidRDefault="00A24945" w:rsidP="00A24945"/>
    <w:p w:rsidR="00A24945" w:rsidRPr="00A24945" w:rsidRDefault="00A24945" w:rsidP="00A24945"/>
    <w:p w:rsidR="00A24945" w:rsidRPr="00A24945" w:rsidRDefault="00A24945" w:rsidP="00A24945"/>
    <w:p w:rsidR="001D080E" w:rsidRPr="00A24945" w:rsidRDefault="00A24945" w:rsidP="00A24945">
      <w:pPr>
        <w:tabs>
          <w:tab w:val="left" w:pos="2975"/>
        </w:tabs>
      </w:pPr>
      <w:r>
        <w:tab/>
      </w:r>
    </w:p>
    <w:sectPr w:rsidR="001D080E" w:rsidRPr="00A24945" w:rsidSect="0043614D">
      <w:headerReference w:type="even" r:id="rId20"/>
      <w:headerReference w:type="default" r:id="rId21"/>
      <w:footerReference w:type="even" r:id="rId22"/>
      <w:footerReference w:type="default" r:id="rId23"/>
      <w:footerReference w:type="first" r:id="rId24"/>
      <w:pgSz w:w="11906" w:h="16838"/>
      <w:pgMar w:top="0" w:right="1416"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5A" w:rsidRDefault="0010645A">
      <w:r>
        <w:separator/>
      </w:r>
    </w:p>
  </w:endnote>
  <w:endnote w:type="continuationSeparator" w:id="0">
    <w:p w:rsidR="0010645A" w:rsidRDefault="001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Default="0010645A" w:rsidP="00B41469">
    <w:pPr>
      <w:pStyle w:val="Footer"/>
      <w:ind w:firstLine="4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97344"/>
      <w:docPartObj>
        <w:docPartGallery w:val="Page Numbers (Bottom of Page)"/>
        <w:docPartUnique/>
      </w:docPartObj>
    </w:sdtPr>
    <w:sdtEndPr>
      <w:rPr>
        <w:noProof/>
      </w:rPr>
    </w:sdtEndPr>
    <w:sdtContent>
      <w:p w:rsidR="0010645A" w:rsidRDefault="0010645A" w:rsidP="009F4BE9">
        <w:pPr>
          <w:pStyle w:val="Footer"/>
        </w:pPr>
        <w:r w:rsidRPr="00E2693B">
          <w:t>Maldon Hospital</w:t>
        </w:r>
        <w:r>
          <w:t xml:space="preserve"> Statement of Priorities 2017-18                                                                            </w:t>
        </w:r>
        <w:r>
          <w:tab/>
        </w:r>
        <w:r>
          <w:fldChar w:fldCharType="begin"/>
        </w:r>
        <w:r>
          <w:instrText xml:space="preserve"> PAGE   \* MERGEFORMAT </w:instrText>
        </w:r>
        <w:r>
          <w:fldChar w:fldCharType="separate"/>
        </w:r>
        <w:r w:rsidR="000D71AE">
          <w:rPr>
            <w:noProof/>
          </w:rPr>
          <w:t>ii</w:t>
        </w:r>
        <w:r>
          <w:rPr>
            <w:noProof/>
          </w:rPr>
          <w:fldChar w:fldCharType="end"/>
        </w:r>
      </w:p>
    </w:sdtContent>
  </w:sdt>
  <w:p w:rsidR="0010645A" w:rsidRPr="00687F38" w:rsidRDefault="0010645A" w:rsidP="00687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Default="0010645A" w:rsidP="004E6BE8">
    <w:pPr>
      <w:pStyle w:val="Footer"/>
    </w:pPr>
    <w:r w:rsidRPr="00767ED4">
      <w:rPr>
        <w:highlight w:val="red"/>
      </w:rPr>
      <w:t>&lt;Health Service Name&gt;</w:t>
    </w:r>
    <w:r>
      <w:t xml:space="preserve"> </w:t>
    </w:r>
    <w:r>
      <w:tab/>
      <w:t xml:space="preserve">Page </w:t>
    </w:r>
    <w:sdt>
      <w:sdtPr>
        <w:id w:val="-14442977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10645A" w:rsidRDefault="001064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58634"/>
      <w:docPartObj>
        <w:docPartGallery w:val="Page Numbers (Bottom of Page)"/>
        <w:docPartUnique/>
      </w:docPartObj>
    </w:sdtPr>
    <w:sdtEndPr>
      <w:rPr>
        <w:noProof/>
      </w:rPr>
    </w:sdtEndPr>
    <w:sdtContent>
      <w:p w:rsidR="0010645A" w:rsidRDefault="0010645A" w:rsidP="00687F38">
        <w:pPr>
          <w:pStyle w:val="Footer"/>
          <w:tabs>
            <w:tab w:val="clear" w:pos="9299"/>
            <w:tab w:val="right" w:pos="9356"/>
            <w:tab w:val="left" w:pos="9639"/>
            <w:tab w:val="left" w:pos="9781"/>
          </w:tabs>
          <w:ind w:firstLine="426"/>
        </w:pPr>
        <w:r w:rsidRPr="00E2693B">
          <w:t>Maldon Hospital</w:t>
        </w:r>
        <w:r>
          <w:t xml:space="preserve"> Statement of Priorities 2017-18                                                                                   </w:t>
        </w:r>
        <w:r w:rsidRPr="0031753A">
          <w:t>Page</w:t>
        </w:r>
        <w:r>
          <w:t xml:space="preserve"> </w:t>
        </w:r>
        <w:r>
          <w:fldChar w:fldCharType="begin"/>
        </w:r>
        <w:r>
          <w:instrText xml:space="preserve"> PAGE   \* MERGEFORMAT </w:instrText>
        </w:r>
        <w:r>
          <w:fldChar w:fldCharType="separate"/>
        </w:r>
        <w:r w:rsidR="00FD0AD9">
          <w:rPr>
            <w:noProof/>
          </w:rPr>
          <w:t>7</w:t>
        </w:r>
        <w:r>
          <w:rPr>
            <w:noProof/>
          </w:rPr>
          <w:fldChar w:fldCharType="end"/>
        </w:r>
      </w:p>
    </w:sdtContent>
  </w:sdt>
  <w:p w:rsidR="0010645A" w:rsidRDefault="0010645A" w:rsidP="00B41469">
    <w:pPr>
      <w:pStyle w:val="Footer"/>
      <w:ind w:firstLine="4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Pr="008114D1" w:rsidRDefault="0010645A" w:rsidP="00E969B1">
    <w:pPr>
      <w:pStyle w:val="DHHSfooter"/>
    </w:pPr>
    <w:r>
      <w:t xml:space="preserve">Page </w:t>
    </w:r>
    <w:r w:rsidRPr="005A39EC">
      <w:fldChar w:fldCharType="begin"/>
    </w:r>
    <w:r w:rsidRPr="005A39EC">
      <w:instrText xml:space="preserve"> PAGE </w:instrText>
    </w:r>
    <w:r w:rsidRPr="005A39EC">
      <w:fldChar w:fldCharType="separate"/>
    </w:r>
    <w:r>
      <w:rPr>
        <w:noProof/>
      </w:rPr>
      <w:t>14</w:t>
    </w:r>
    <w:r w:rsidRPr="005A39EC">
      <w:fldChar w:fldCharType="end"/>
    </w:r>
    <w:r>
      <w:tab/>
    </w:r>
    <w:r w:rsidRPr="0059252F">
      <w:rPr>
        <w:highlight w:val="yellow"/>
      </w:rPr>
      <w:t>HealthServiceName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Pr="0031753A" w:rsidRDefault="0010645A" w:rsidP="0079240B">
    <w:pPr>
      <w:pStyle w:val="DHHSfooter"/>
      <w:tabs>
        <w:tab w:val="left" w:pos="142"/>
        <w:tab w:val="left" w:pos="8931"/>
      </w:tabs>
      <w:ind w:left="-142" w:hanging="142"/>
    </w:pPr>
    <w:r>
      <w:t xml:space="preserve">   </w:t>
    </w:r>
    <w:r w:rsidRPr="004A6590">
      <w:t xml:space="preserve"> </w:t>
    </w:r>
    <w:r>
      <w:t xml:space="preserve">Maldon Hospital Statement of Priorities 2017-18                                                                                   </w:t>
    </w:r>
    <w:r w:rsidRPr="0031753A">
      <w:t xml:space="preserve">Page </w:t>
    </w:r>
    <w:r w:rsidRPr="0031753A">
      <w:fldChar w:fldCharType="begin"/>
    </w:r>
    <w:r w:rsidRPr="0031753A">
      <w:instrText xml:space="preserve"> PAGE </w:instrText>
    </w:r>
    <w:r w:rsidRPr="0031753A">
      <w:fldChar w:fldCharType="separate"/>
    </w:r>
    <w:r w:rsidR="00C8636D">
      <w:rPr>
        <w:noProof/>
      </w:rPr>
      <w:t>14</w:t>
    </w:r>
    <w:r w:rsidRPr="0031753A">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Pr="001A7E04" w:rsidRDefault="0010645A"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5A" w:rsidRDefault="0010645A">
      <w:r>
        <w:separator/>
      </w:r>
    </w:p>
  </w:footnote>
  <w:footnote w:type="continuationSeparator" w:id="0">
    <w:p w:rsidR="0010645A" w:rsidRDefault="0010645A">
      <w:r>
        <w:continuationSeparator/>
      </w:r>
    </w:p>
  </w:footnote>
  <w:footnote w:id="1">
    <w:p w:rsidR="0010645A" w:rsidRDefault="0010645A">
      <w:pPr>
        <w:pStyle w:val="FootnoteText"/>
      </w:pPr>
      <w:r>
        <w:rPr>
          <w:rStyle w:val="FootnoteReference"/>
        </w:rPr>
        <w:footnoteRef/>
      </w:r>
      <w:r>
        <w:t xml:space="preserve"> </w:t>
      </w:r>
      <w:r w:rsidRPr="009D586D">
        <w:rPr>
          <w:rFonts w:eastAsiaTheme="minorHAnsi"/>
          <w:color w:val="000000"/>
          <w:szCs w:val="20"/>
        </w:rPr>
        <w:t>DRG is Diagnosis Related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Pr="0069374A" w:rsidRDefault="0010645A"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5A" w:rsidRDefault="0010645A"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nsid w:val="05A65D29"/>
    <w:multiLevelType w:val="hybridMultilevel"/>
    <w:tmpl w:val="6F8C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73551E"/>
    <w:multiLevelType w:val="hybridMultilevel"/>
    <w:tmpl w:val="54EA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414128"/>
    <w:multiLevelType w:val="multilevel"/>
    <w:tmpl w:val="9CE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51B47"/>
    <w:multiLevelType w:val="multilevel"/>
    <w:tmpl w:val="4B4E7622"/>
    <w:numStyleLink w:val="ZZNumbers"/>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BA23DAC"/>
    <w:multiLevelType w:val="multilevel"/>
    <w:tmpl w:val="1A7A2A48"/>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6C611894"/>
    <w:multiLevelType w:val="hybridMultilevel"/>
    <w:tmpl w:val="9E56E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746AC"/>
    <w:multiLevelType w:val="multilevel"/>
    <w:tmpl w:val="F03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3"/>
  </w:num>
  <w:num w:numId="18">
    <w:abstractNumId w:val="2"/>
  </w:num>
  <w:num w:numId="19">
    <w:abstractNumId w:val="6"/>
    <w:lvlOverride w:ilvl="0">
      <w:lvl w:ilvl="0">
        <w:start w:val="1"/>
        <w:numFmt w:val="bullet"/>
        <w:lvlText w:val=""/>
        <w:lvlJc w:val="left"/>
        <w:pPr>
          <w:ind w:left="284" w:hanging="284"/>
        </w:pPr>
        <w:rPr>
          <w:rFonts w:ascii="Symbol" w:hAnsi="Symbol" w:hint="default"/>
        </w:rPr>
      </w:lvl>
    </w:lvlOverride>
    <w:lvlOverride w:ilvl="1">
      <w:lvl w:ilvl="1">
        <w:start w:val="1"/>
        <w:numFmt w:val="bullet"/>
        <w:lvlRestart w:val="0"/>
        <w:lvlText w:val=""/>
        <w:lvlJc w:val="left"/>
        <w:pPr>
          <w:ind w:left="284" w:hanging="284"/>
        </w:pPr>
        <w:rPr>
          <w:rFonts w:ascii="Symbol" w:hAnsi="Symbol" w:hint="default"/>
        </w:rPr>
      </w:lvl>
    </w:lvlOverride>
  </w:num>
  <w:num w:numId="20">
    <w:abstractNumId w:val="6"/>
  </w:num>
  <w:num w:numId="21">
    <w:abstractNumId w:val="0"/>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FA"/>
    <w:rsid w:val="00002990"/>
    <w:rsid w:val="000048AC"/>
    <w:rsid w:val="000053D1"/>
    <w:rsid w:val="000128F9"/>
    <w:rsid w:val="00014FC4"/>
    <w:rsid w:val="00020AAB"/>
    <w:rsid w:val="000223A4"/>
    <w:rsid w:val="00022E60"/>
    <w:rsid w:val="00026C19"/>
    <w:rsid w:val="00031263"/>
    <w:rsid w:val="00033976"/>
    <w:rsid w:val="00037306"/>
    <w:rsid w:val="00040AED"/>
    <w:rsid w:val="000412CC"/>
    <w:rsid w:val="00055789"/>
    <w:rsid w:val="00060E93"/>
    <w:rsid w:val="00064936"/>
    <w:rsid w:val="000710D9"/>
    <w:rsid w:val="00072CCA"/>
    <w:rsid w:val="000734F8"/>
    <w:rsid w:val="000736B8"/>
    <w:rsid w:val="000817CB"/>
    <w:rsid w:val="000838D7"/>
    <w:rsid w:val="000873EF"/>
    <w:rsid w:val="00094A53"/>
    <w:rsid w:val="000B3792"/>
    <w:rsid w:val="000C6242"/>
    <w:rsid w:val="000C68DB"/>
    <w:rsid w:val="000C7FAF"/>
    <w:rsid w:val="000D0FA0"/>
    <w:rsid w:val="000D2C32"/>
    <w:rsid w:val="000D71AE"/>
    <w:rsid w:val="000E1565"/>
    <w:rsid w:val="000E6F72"/>
    <w:rsid w:val="000F0478"/>
    <w:rsid w:val="000F0A50"/>
    <w:rsid w:val="00103D5E"/>
    <w:rsid w:val="00104EA7"/>
    <w:rsid w:val="00105FAD"/>
    <w:rsid w:val="0010645A"/>
    <w:rsid w:val="00106FEF"/>
    <w:rsid w:val="0011155B"/>
    <w:rsid w:val="00111A6A"/>
    <w:rsid w:val="00115D07"/>
    <w:rsid w:val="00121BF1"/>
    <w:rsid w:val="00123243"/>
    <w:rsid w:val="00126B5A"/>
    <w:rsid w:val="00127A8B"/>
    <w:rsid w:val="00131D18"/>
    <w:rsid w:val="001342E5"/>
    <w:rsid w:val="00134BE5"/>
    <w:rsid w:val="00137725"/>
    <w:rsid w:val="001412D1"/>
    <w:rsid w:val="001423E3"/>
    <w:rsid w:val="001475EA"/>
    <w:rsid w:val="001504F5"/>
    <w:rsid w:val="001517BD"/>
    <w:rsid w:val="001561F0"/>
    <w:rsid w:val="00166479"/>
    <w:rsid w:val="00167736"/>
    <w:rsid w:val="0017248D"/>
    <w:rsid w:val="00173626"/>
    <w:rsid w:val="0017614A"/>
    <w:rsid w:val="001817CD"/>
    <w:rsid w:val="0018235E"/>
    <w:rsid w:val="0018768C"/>
    <w:rsid w:val="00192BA0"/>
    <w:rsid w:val="00192E72"/>
    <w:rsid w:val="00197303"/>
    <w:rsid w:val="001A17EA"/>
    <w:rsid w:val="001A1D17"/>
    <w:rsid w:val="001A22AA"/>
    <w:rsid w:val="001A7A18"/>
    <w:rsid w:val="001B1565"/>
    <w:rsid w:val="001B166D"/>
    <w:rsid w:val="001B28B5"/>
    <w:rsid w:val="001B2975"/>
    <w:rsid w:val="001B3653"/>
    <w:rsid w:val="001C122D"/>
    <w:rsid w:val="001C7D91"/>
    <w:rsid w:val="001D080E"/>
    <w:rsid w:val="001D2A82"/>
    <w:rsid w:val="001D3805"/>
    <w:rsid w:val="001D4D6A"/>
    <w:rsid w:val="001D569B"/>
    <w:rsid w:val="001E0EA3"/>
    <w:rsid w:val="001E4995"/>
    <w:rsid w:val="001E7A42"/>
    <w:rsid w:val="001F09DC"/>
    <w:rsid w:val="001F43E6"/>
    <w:rsid w:val="00201252"/>
    <w:rsid w:val="00210BB0"/>
    <w:rsid w:val="00212A91"/>
    <w:rsid w:val="00213772"/>
    <w:rsid w:val="00220749"/>
    <w:rsid w:val="0022422C"/>
    <w:rsid w:val="00225D92"/>
    <w:rsid w:val="0022724E"/>
    <w:rsid w:val="00230666"/>
    <w:rsid w:val="00231153"/>
    <w:rsid w:val="0023252E"/>
    <w:rsid w:val="00232D9E"/>
    <w:rsid w:val="00241C31"/>
    <w:rsid w:val="00243551"/>
    <w:rsid w:val="0024775A"/>
    <w:rsid w:val="00266AAD"/>
    <w:rsid w:val="002679D5"/>
    <w:rsid w:val="002714FD"/>
    <w:rsid w:val="00275F94"/>
    <w:rsid w:val="002803A0"/>
    <w:rsid w:val="00281B9C"/>
    <w:rsid w:val="00284C9B"/>
    <w:rsid w:val="002A141B"/>
    <w:rsid w:val="002A26B6"/>
    <w:rsid w:val="002A3345"/>
    <w:rsid w:val="002A6A4E"/>
    <w:rsid w:val="002B20E2"/>
    <w:rsid w:val="002B5A85"/>
    <w:rsid w:val="002B63A7"/>
    <w:rsid w:val="002C0E26"/>
    <w:rsid w:val="002C39D1"/>
    <w:rsid w:val="002C5543"/>
    <w:rsid w:val="002D0F7F"/>
    <w:rsid w:val="002E0198"/>
    <w:rsid w:val="002E1D7C"/>
    <w:rsid w:val="002E30F4"/>
    <w:rsid w:val="002E39A7"/>
    <w:rsid w:val="002E555E"/>
    <w:rsid w:val="002E7A34"/>
    <w:rsid w:val="002F449B"/>
    <w:rsid w:val="002F4D86"/>
    <w:rsid w:val="002F5D69"/>
    <w:rsid w:val="002F692A"/>
    <w:rsid w:val="002F7C77"/>
    <w:rsid w:val="003000AC"/>
    <w:rsid w:val="00300CB3"/>
    <w:rsid w:val="00301E70"/>
    <w:rsid w:val="0030394B"/>
    <w:rsid w:val="003072C6"/>
    <w:rsid w:val="00310D8E"/>
    <w:rsid w:val="00315BBD"/>
    <w:rsid w:val="00316CFC"/>
    <w:rsid w:val="0031753A"/>
    <w:rsid w:val="00320293"/>
    <w:rsid w:val="00322CC2"/>
    <w:rsid w:val="00324ADC"/>
    <w:rsid w:val="003271DC"/>
    <w:rsid w:val="003272E8"/>
    <w:rsid w:val="00327590"/>
    <w:rsid w:val="00334B54"/>
    <w:rsid w:val="00335914"/>
    <w:rsid w:val="0033739E"/>
    <w:rsid w:val="00343733"/>
    <w:rsid w:val="003527C7"/>
    <w:rsid w:val="00355886"/>
    <w:rsid w:val="00356814"/>
    <w:rsid w:val="0038019F"/>
    <w:rsid w:val="00382071"/>
    <w:rsid w:val="003A18B7"/>
    <w:rsid w:val="003A2F25"/>
    <w:rsid w:val="003B2807"/>
    <w:rsid w:val="003C68F2"/>
    <w:rsid w:val="003C697A"/>
    <w:rsid w:val="003D58B8"/>
    <w:rsid w:val="003D5CFB"/>
    <w:rsid w:val="003E2636"/>
    <w:rsid w:val="003E2E12"/>
    <w:rsid w:val="003F39CE"/>
    <w:rsid w:val="0040006E"/>
    <w:rsid w:val="00401108"/>
    <w:rsid w:val="00402927"/>
    <w:rsid w:val="00407993"/>
    <w:rsid w:val="00411833"/>
    <w:rsid w:val="00412F64"/>
    <w:rsid w:val="004169B5"/>
    <w:rsid w:val="00417BEB"/>
    <w:rsid w:val="004277DD"/>
    <w:rsid w:val="004307E9"/>
    <w:rsid w:val="004324FF"/>
    <w:rsid w:val="00432A55"/>
    <w:rsid w:val="004331F6"/>
    <w:rsid w:val="0043614D"/>
    <w:rsid w:val="0044260A"/>
    <w:rsid w:val="00444C6E"/>
    <w:rsid w:val="00444D82"/>
    <w:rsid w:val="004564C6"/>
    <w:rsid w:val="004610CC"/>
    <w:rsid w:val="00465464"/>
    <w:rsid w:val="00465E87"/>
    <w:rsid w:val="0047786A"/>
    <w:rsid w:val="00477A65"/>
    <w:rsid w:val="00477B65"/>
    <w:rsid w:val="00482BFC"/>
    <w:rsid w:val="00482DB3"/>
    <w:rsid w:val="004A0236"/>
    <w:rsid w:val="004A369A"/>
    <w:rsid w:val="004A3B3E"/>
    <w:rsid w:val="004A6590"/>
    <w:rsid w:val="004A714A"/>
    <w:rsid w:val="004C5777"/>
    <w:rsid w:val="004D0173"/>
    <w:rsid w:val="004D1056"/>
    <w:rsid w:val="004D231D"/>
    <w:rsid w:val="004D3E9D"/>
    <w:rsid w:val="004D7B11"/>
    <w:rsid w:val="004E1EDE"/>
    <w:rsid w:val="004E21E2"/>
    <w:rsid w:val="004E293F"/>
    <w:rsid w:val="004E380D"/>
    <w:rsid w:val="004E6BE8"/>
    <w:rsid w:val="004E7922"/>
    <w:rsid w:val="004F0DFC"/>
    <w:rsid w:val="004F3441"/>
    <w:rsid w:val="004F41B2"/>
    <w:rsid w:val="004F4AFC"/>
    <w:rsid w:val="004F52A5"/>
    <w:rsid w:val="004F6D8A"/>
    <w:rsid w:val="004F7528"/>
    <w:rsid w:val="00500C8C"/>
    <w:rsid w:val="00501375"/>
    <w:rsid w:val="00501D3B"/>
    <w:rsid w:val="005022C9"/>
    <w:rsid w:val="00505795"/>
    <w:rsid w:val="0050779D"/>
    <w:rsid w:val="005139EA"/>
    <w:rsid w:val="00520BBB"/>
    <w:rsid w:val="00525456"/>
    <w:rsid w:val="00532236"/>
    <w:rsid w:val="00541DFE"/>
    <w:rsid w:val="00543C07"/>
    <w:rsid w:val="00543E6C"/>
    <w:rsid w:val="00544184"/>
    <w:rsid w:val="005552FD"/>
    <w:rsid w:val="005578AB"/>
    <w:rsid w:val="005600E5"/>
    <w:rsid w:val="00564E8F"/>
    <w:rsid w:val="005728A4"/>
    <w:rsid w:val="0057448F"/>
    <w:rsid w:val="005763FC"/>
    <w:rsid w:val="00576EB4"/>
    <w:rsid w:val="00577B30"/>
    <w:rsid w:val="00582768"/>
    <w:rsid w:val="00582A7B"/>
    <w:rsid w:val="00583461"/>
    <w:rsid w:val="005856A4"/>
    <w:rsid w:val="00590730"/>
    <w:rsid w:val="0059252F"/>
    <w:rsid w:val="00595133"/>
    <w:rsid w:val="00597615"/>
    <w:rsid w:val="005A3051"/>
    <w:rsid w:val="005A53FE"/>
    <w:rsid w:val="005B253F"/>
    <w:rsid w:val="005B325C"/>
    <w:rsid w:val="005B7D22"/>
    <w:rsid w:val="005C029E"/>
    <w:rsid w:val="005E085D"/>
    <w:rsid w:val="005E0E62"/>
    <w:rsid w:val="005E2F63"/>
    <w:rsid w:val="005E3FA7"/>
    <w:rsid w:val="005E7963"/>
    <w:rsid w:val="005F218C"/>
    <w:rsid w:val="005F4523"/>
    <w:rsid w:val="005F78B9"/>
    <w:rsid w:val="00601D4D"/>
    <w:rsid w:val="006021B4"/>
    <w:rsid w:val="00605B5B"/>
    <w:rsid w:val="006062D8"/>
    <w:rsid w:val="00606827"/>
    <w:rsid w:val="00620262"/>
    <w:rsid w:val="00621B4C"/>
    <w:rsid w:val="00627C52"/>
    <w:rsid w:val="00630797"/>
    <w:rsid w:val="00630937"/>
    <w:rsid w:val="00636934"/>
    <w:rsid w:val="00642DCB"/>
    <w:rsid w:val="00653B84"/>
    <w:rsid w:val="00653E0D"/>
    <w:rsid w:val="00657FA0"/>
    <w:rsid w:val="00662E1A"/>
    <w:rsid w:val="0067653C"/>
    <w:rsid w:val="006802AC"/>
    <w:rsid w:val="006865C8"/>
    <w:rsid w:val="00686B48"/>
    <w:rsid w:val="00687038"/>
    <w:rsid w:val="0068714E"/>
    <w:rsid w:val="00687F38"/>
    <w:rsid w:val="006929F7"/>
    <w:rsid w:val="0069374A"/>
    <w:rsid w:val="00694AB8"/>
    <w:rsid w:val="00695EF7"/>
    <w:rsid w:val="0069699D"/>
    <w:rsid w:val="006B0E97"/>
    <w:rsid w:val="006B2C51"/>
    <w:rsid w:val="006B6361"/>
    <w:rsid w:val="006C3F79"/>
    <w:rsid w:val="006D360C"/>
    <w:rsid w:val="006D5AC9"/>
    <w:rsid w:val="006D66ED"/>
    <w:rsid w:val="006E786B"/>
    <w:rsid w:val="006F13D0"/>
    <w:rsid w:val="007002B1"/>
    <w:rsid w:val="00704EB7"/>
    <w:rsid w:val="00705742"/>
    <w:rsid w:val="007104FE"/>
    <w:rsid w:val="00711B0C"/>
    <w:rsid w:val="007121A2"/>
    <w:rsid w:val="00713981"/>
    <w:rsid w:val="00714708"/>
    <w:rsid w:val="007153FA"/>
    <w:rsid w:val="007176D6"/>
    <w:rsid w:val="00727D54"/>
    <w:rsid w:val="007344C5"/>
    <w:rsid w:val="00734959"/>
    <w:rsid w:val="00735137"/>
    <w:rsid w:val="0073520D"/>
    <w:rsid w:val="007571D2"/>
    <w:rsid w:val="00757BFA"/>
    <w:rsid w:val="0077244F"/>
    <w:rsid w:val="00780226"/>
    <w:rsid w:val="00781AB4"/>
    <w:rsid w:val="00783D03"/>
    <w:rsid w:val="00784070"/>
    <w:rsid w:val="007846D4"/>
    <w:rsid w:val="00787164"/>
    <w:rsid w:val="007923B7"/>
    <w:rsid w:val="0079240B"/>
    <w:rsid w:val="00792616"/>
    <w:rsid w:val="007926BB"/>
    <w:rsid w:val="0079344C"/>
    <w:rsid w:val="007968AE"/>
    <w:rsid w:val="007A0283"/>
    <w:rsid w:val="007A46B0"/>
    <w:rsid w:val="007B05D3"/>
    <w:rsid w:val="007B452D"/>
    <w:rsid w:val="007C02C7"/>
    <w:rsid w:val="007C21EE"/>
    <w:rsid w:val="007D3A2E"/>
    <w:rsid w:val="007D6652"/>
    <w:rsid w:val="007D6F51"/>
    <w:rsid w:val="007E29D3"/>
    <w:rsid w:val="007E343D"/>
    <w:rsid w:val="007F4383"/>
    <w:rsid w:val="00801601"/>
    <w:rsid w:val="00803DFF"/>
    <w:rsid w:val="00804B35"/>
    <w:rsid w:val="00810991"/>
    <w:rsid w:val="0081264A"/>
    <w:rsid w:val="00814A9B"/>
    <w:rsid w:val="00814F66"/>
    <w:rsid w:val="00817C9E"/>
    <w:rsid w:val="008205AF"/>
    <w:rsid w:val="008225E5"/>
    <w:rsid w:val="00831053"/>
    <w:rsid w:val="008314D2"/>
    <w:rsid w:val="0083254D"/>
    <w:rsid w:val="00836249"/>
    <w:rsid w:val="00836F00"/>
    <w:rsid w:val="00842D75"/>
    <w:rsid w:val="0084378F"/>
    <w:rsid w:val="00843BDA"/>
    <w:rsid w:val="00846192"/>
    <w:rsid w:val="00850806"/>
    <w:rsid w:val="00854386"/>
    <w:rsid w:val="00856A1B"/>
    <w:rsid w:val="008621C3"/>
    <w:rsid w:val="00865486"/>
    <w:rsid w:val="00874025"/>
    <w:rsid w:val="00876275"/>
    <w:rsid w:val="00877A69"/>
    <w:rsid w:val="00882B99"/>
    <w:rsid w:val="00886121"/>
    <w:rsid w:val="00893153"/>
    <w:rsid w:val="008A1650"/>
    <w:rsid w:val="008A295B"/>
    <w:rsid w:val="008A379D"/>
    <w:rsid w:val="008A6604"/>
    <w:rsid w:val="008B3E55"/>
    <w:rsid w:val="008B5482"/>
    <w:rsid w:val="008C11F4"/>
    <w:rsid w:val="008C2BEC"/>
    <w:rsid w:val="008C6523"/>
    <w:rsid w:val="008C6873"/>
    <w:rsid w:val="008C6D0E"/>
    <w:rsid w:val="008D09D2"/>
    <w:rsid w:val="008D1778"/>
    <w:rsid w:val="008D2E92"/>
    <w:rsid w:val="008D39C5"/>
    <w:rsid w:val="008E1D89"/>
    <w:rsid w:val="008E3E3E"/>
    <w:rsid w:val="008E58EC"/>
    <w:rsid w:val="008F5F87"/>
    <w:rsid w:val="00900A34"/>
    <w:rsid w:val="00901BB1"/>
    <w:rsid w:val="00907073"/>
    <w:rsid w:val="00913049"/>
    <w:rsid w:val="009208F5"/>
    <w:rsid w:val="00920FD5"/>
    <w:rsid w:val="00927D51"/>
    <w:rsid w:val="00932272"/>
    <w:rsid w:val="00932862"/>
    <w:rsid w:val="00935D60"/>
    <w:rsid w:val="009447BB"/>
    <w:rsid w:val="00944C48"/>
    <w:rsid w:val="00946335"/>
    <w:rsid w:val="00946749"/>
    <w:rsid w:val="009513C4"/>
    <w:rsid w:val="00955E55"/>
    <w:rsid w:val="00962200"/>
    <w:rsid w:val="009668AF"/>
    <w:rsid w:val="00966F54"/>
    <w:rsid w:val="00971B80"/>
    <w:rsid w:val="00975E61"/>
    <w:rsid w:val="00976E31"/>
    <w:rsid w:val="00977C63"/>
    <w:rsid w:val="00980087"/>
    <w:rsid w:val="00980C0B"/>
    <w:rsid w:val="00980C82"/>
    <w:rsid w:val="0098524F"/>
    <w:rsid w:val="00987ABE"/>
    <w:rsid w:val="009906C7"/>
    <w:rsid w:val="00992BCE"/>
    <w:rsid w:val="009963CD"/>
    <w:rsid w:val="009B266D"/>
    <w:rsid w:val="009B5CBF"/>
    <w:rsid w:val="009C184A"/>
    <w:rsid w:val="009C2CA5"/>
    <w:rsid w:val="009D3E45"/>
    <w:rsid w:val="009F351F"/>
    <w:rsid w:val="009F3F89"/>
    <w:rsid w:val="009F480E"/>
    <w:rsid w:val="009F4856"/>
    <w:rsid w:val="009F4BE9"/>
    <w:rsid w:val="00A022A2"/>
    <w:rsid w:val="00A02D15"/>
    <w:rsid w:val="00A11403"/>
    <w:rsid w:val="00A136EE"/>
    <w:rsid w:val="00A24945"/>
    <w:rsid w:val="00A26B0D"/>
    <w:rsid w:val="00A270C5"/>
    <w:rsid w:val="00A342C1"/>
    <w:rsid w:val="00A3598D"/>
    <w:rsid w:val="00A3735A"/>
    <w:rsid w:val="00A42F1B"/>
    <w:rsid w:val="00A5164A"/>
    <w:rsid w:val="00A546BC"/>
    <w:rsid w:val="00A55989"/>
    <w:rsid w:val="00A5694A"/>
    <w:rsid w:val="00A57D30"/>
    <w:rsid w:val="00A63DA4"/>
    <w:rsid w:val="00A65A18"/>
    <w:rsid w:val="00A7335E"/>
    <w:rsid w:val="00A75CD5"/>
    <w:rsid w:val="00A83DF3"/>
    <w:rsid w:val="00A85915"/>
    <w:rsid w:val="00A952AB"/>
    <w:rsid w:val="00A9783D"/>
    <w:rsid w:val="00AA0872"/>
    <w:rsid w:val="00AA40E0"/>
    <w:rsid w:val="00AA45E6"/>
    <w:rsid w:val="00AA5A37"/>
    <w:rsid w:val="00AB489C"/>
    <w:rsid w:val="00AB50C1"/>
    <w:rsid w:val="00AB6936"/>
    <w:rsid w:val="00AB6E51"/>
    <w:rsid w:val="00AC0C3B"/>
    <w:rsid w:val="00AC2D63"/>
    <w:rsid w:val="00AD03D8"/>
    <w:rsid w:val="00AD0711"/>
    <w:rsid w:val="00AD3DE4"/>
    <w:rsid w:val="00AD704E"/>
    <w:rsid w:val="00AE5FE0"/>
    <w:rsid w:val="00AE60B7"/>
    <w:rsid w:val="00AE6166"/>
    <w:rsid w:val="00AF2AB7"/>
    <w:rsid w:val="00AF2B1C"/>
    <w:rsid w:val="00AF2DA7"/>
    <w:rsid w:val="00AF4D3F"/>
    <w:rsid w:val="00B02D8E"/>
    <w:rsid w:val="00B02E1B"/>
    <w:rsid w:val="00B0300B"/>
    <w:rsid w:val="00B05457"/>
    <w:rsid w:val="00B128A0"/>
    <w:rsid w:val="00B13241"/>
    <w:rsid w:val="00B20240"/>
    <w:rsid w:val="00B230A0"/>
    <w:rsid w:val="00B23281"/>
    <w:rsid w:val="00B27571"/>
    <w:rsid w:val="00B36077"/>
    <w:rsid w:val="00B41469"/>
    <w:rsid w:val="00B4164B"/>
    <w:rsid w:val="00B42417"/>
    <w:rsid w:val="00B43614"/>
    <w:rsid w:val="00B44589"/>
    <w:rsid w:val="00B454CD"/>
    <w:rsid w:val="00B507D8"/>
    <w:rsid w:val="00B5409A"/>
    <w:rsid w:val="00B55574"/>
    <w:rsid w:val="00B56059"/>
    <w:rsid w:val="00B57E16"/>
    <w:rsid w:val="00B6491A"/>
    <w:rsid w:val="00B6525D"/>
    <w:rsid w:val="00B65ABA"/>
    <w:rsid w:val="00B67876"/>
    <w:rsid w:val="00B6790F"/>
    <w:rsid w:val="00B71B3B"/>
    <w:rsid w:val="00B757F5"/>
    <w:rsid w:val="00B75861"/>
    <w:rsid w:val="00B87D61"/>
    <w:rsid w:val="00B93948"/>
    <w:rsid w:val="00BA4BC7"/>
    <w:rsid w:val="00BA55B7"/>
    <w:rsid w:val="00BA5E47"/>
    <w:rsid w:val="00BA7D57"/>
    <w:rsid w:val="00BB156E"/>
    <w:rsid w:val="00BB1968"/>
    <w:rsid w:val="00BB3330"/>
    <w:rsid w:val="00BB47D7"/>
    <w:rsid w:val="00BB4A62"/>
    <w:rsid w:val="00BC01C1"/>
    <w:rsid w:val="00BC5A34"/>
    <w:rsid w:val="00BD0B07"/>
    <w:rsid w:val="00BD17F5"/>
    <w:rsid w:val="00BD6E05"/>
    <w:rsid w:val="00BD6F20"/>
    <w:rsid w:val="00BE54D0"/>
    <w:rsid w:val="00BF4334"/>
    <w:rsid w:val="00BF6B6C"/>
    <w:rsid w:val="00BF7251"/>
    <w:rsid w:val="00BF7F28"/>
    <w:rsid w:val="00C008BE"/>
    <w:rsid w:val="00C01909"/>
    <w:rsid w:val="00C0255A"/>
    <w:rsid w:val="00C05787"/>
    <w:rsid w:val="00C12832"/>
    <w:rsid w:val="00C13059"/>
    <w:rsid w:val="00C1529D"/>
    <w:rsid w:val="00C156D4"/>
    <w:rsid w:val="00C167A3"/>
    <w:rsid w:val="00C21203"/>
    <w:rsid w:val="00C2181C"/>
    <w:rsid w:val="00C21AC1"/>
    <w:rsid w:val="00C2657D"/>
    <w:rsid w:val="00C3447A"/>
    <w:rsid w:val="00C356AF"/>
    <w:rsid w:val="00C416E1"/>
    <w:rsid w:val="00C42E5C"/>
    <w:rsid w:val="00C43D59"/>
    <w:rsid w:val="00C4754E"/>
    <w:rsid w:val="00C47BF8"/>
    <w:rsid w:val="00C50F52"/>
    <w:rsid w:val="00C51B1C"/>
    <w:rsid w:val="00C53DCE"/>
    <w:rsid w:val="00C62E65"/>
    <w:rsid w:val="00C655F2"/>
    <w:rsid w:val="00C65B4C"/>
    <w:rsid w:val="00C65B61"/>
    <w:rsid w:val="00C70E53"/>
    <w:rsid w:val="00C72979"/>
    <w:rsid w:val="00C75604"/>
    <w:rsid w:val="00C80282"/>
    <w:rsid w:val="00C803B2"/>
    <w:rsid w:val="00C81529"/>
    <w:rsid w:val="00C81BA6"/>
    <w:rsid w:val="00C8377C"/>
    <w:rsid w:val="00C840EB"/>
    <w:rsid w:val="00C842FD"/>
    <w:rsid w:val="00C8636D"/>
    <w:rsid w:val="00C877CD"/>
    <w:rsid w:val="00C902E9"/>
    <w:rsid w:val="00C908B7"/>
    <w:rsid w:val="00C91D81"/>
    <w:rsid w:val="00C92A42"/>
    <w:rsid w:val="00C93B08"/>
    <w:rsid w:val="00C971A2"/>
    <w:rsid w:val="00CA0123"/>
    <w:rsid w:val="00CA05FC"/>
    <w:rsid w:val="00CA18F2"/>
    <w:rsid w:val="00CA4871"/>
    <w:rsid w:val="00CA6722"/>
    <w:rsid w:val="00CA6D4E"/>
    <w:rsid w:val="00CA7B4B"/>
    <w:rsid w:val="00CB13C9"/>
    <w:rsid w:val="00CB36A8"/>
    <w:rsid w:val="00CB4DE6"/>
    <w:rsid w:val="00CC139A"/>
    <w:rsid w:val="00CC1E7A"/>
    <w:rsid w:val="00CC4F64"/>
    <w:rsid w:val="00CD058C"/>
    <w:rsid w:val="00CD3B98"/>
    <w:rsid w:val="00CD4216"/>
    <w:rsid w:val="00CD518C"/>
    <w:rsid w:val="00CD733F"/>
    <w:rsid w:val="00CE0942"/>
    <w:rsid w:val="00CE6CB9"/>
    <w:rsid w:val="00CE7CA5"/>
    <w:rsid w:val="00CF1D81"/>
    <w:rsid w:val="00CF2DC9"/>
    <w:rsid w:val="00CF7CB6"/>
    <w:rsid w:val="00D23B12"/>
    <w:rsid w:val="00D311AB"/>
    <w:rsid w:val="00D325A8"/>
    <w:rsid w:val="00D32A6A"/>
    <w:rsid w:val="00D442AD"/>
    <w:rsid w:val="00D5618A"/>
    <w:rsid w:val="00D56B25"/>
    <w:rsid w:val="00D5784B"/>
    <w:rsid w:val="00D6316B"/>
    <w:rsid w:val="00D63EFB"/>
    <w:rsid w:val="00D658AF"/>
    <w:rsid w:val="00D66330"/>
    <w:rsid w:val="00D83DE9"/>
    <w:rsid w:val="00D8450D"/>
    <w:rsid w:val="00D95AF9"/>
    <w:rsid w:val="00DA09C9"/>
    <w:rsid w:val="00DA1822"/>
    <w:rsid w:val="00DB10F7"/>
    <w:rsid w:val="00DB1645"/>
    <w:rsid w:val="00DB5E1F"/>
    <w:rsid w:val="00DC19D8"/>
    <w:rsid w:val="00DC2613"/>
    <w:rsid w:val="00DC4512"/>
    <w:rsid w:val="00DD3691"/>
    <w:rsid w:val="00DD4B55"/>
    <w:rsid w:val="00DE1E90"/>
    <w:rsid w:val="00DE24E6"/>
    <w:rsid w:val="00DE4F80"/>
    <w:rsid w:val="00DF07AD"/>
    <w:rsid w:val="00DF3364"/>
    <w:rsid w:val="00DF3ADA"/>
    <w:rsid w:val="00E01D09"/>
    <w:rsid w:val="00E055BB"/>
    <w:rsid w:val="00E11988"/>
    <w:rsid w:val="00E15DA9"/>
    <w:rsid w:val="00E2095D"/>
    <w:rsid w:val="00E238AD"/>
    <w:rsid w:val="00E24A2F"/>
    <w:rsid w:val="00E2643F"/>
    <w:rsid w:val="00E2693B"/>
    <w:rsid w:val="00E30414"/>
    <w:rsid w:val="00E36565"/>
    <w:rsid w:val="00E36A89"/>
    <w:rsid w:val="00E40769"/>
    <w:rsid w:val="00E42E8B"/>
    <w:rsid w:val="00E60F12"/>
    <w:rsid w:val="00E652FB"/>
    <w:rsid w:val="00E66C20"/>
    <w:rsid w:val="00E71C46"/>
    <w:rsid w:val="00E75ED2"/>
    <w:rsid w:val="00E76F71"/>
    <w:rsid w:val="00E8280C"/>
    <w:rsid w:val="00E82AAC"/>
    <w:rsid w:val="00E83E4C"/>
    <w:rsid w:val="00E91933"/>
    <w:rsid w:val="00E92A81"/>
    <w:rsid w:val="00E9676C"/>
    <w:rsid w:val="00E969B1"/>
    <w:rsid w:val="00EA11A0"/>
    <w:rsid w:val="00EB6552"/>
    <w:rsid w:val="00EC0B00"/>
    <w:rsid w:val="00EC18E6"/>
    <w:rsid w:val="00EC1984"/>
    <w:rsid w:val="00EC234C"/>
    <w:rsid w:val="00ED3529"/>
    <w:rsid w:val="00ED4C71"/>
    <w:rsid w:val="00ED4D17"/>
    <w:rsid w:val="00EE335F"/>
    <w:rsid w:val="00EE6CD3"/>
    <w:rsid w:val="00EF1E75"/>
    <w:rsid w:val="00EF20D7"/>
    <w:rsid w:val="00EF3419"/>
    <w:rsid w:val="00F0119C"/>
    <w:rsid w:val="00F02BDB"/>
    <w:rsid w:val="00F0441B"/>
    <w:rsid w:val="00F07623"/>
    <w:rsid w:val="00F07641"/>
    <w:rsid w:val="00F15591"/>
    <w:rsid w:val="00F2447F"/>
    <w:rsid w:val="00F3136B"/>
    <w:rsid w:val="00F314F1"/>
    <w:rsid w:val="00F327EA"/>
    <w:rsid w:val="00F33641"/>
    <w:rsid w:val="00F42842"/>
    <w:rsid w:val="00F43C38"/>
    <w:rsid w:val="00F46E40"/>
    <w:rsid w:val="00F4760A"/>
    <w:rsid w:val="00F51548"/>
    <w:rsid w:val="00F51EE8"/>
    <w:rsid w:val="00F52B8E"/>
    <w:rsid w:val="00F53CFD"/>
    <w:rsid w:val="00F54AF5"/>
    <w:rsid w:val="00F557E3"/>
    <w:rsid w:val="00F578EA"/>
    <w:rsid w:val="00F61E78"/>
    <w:rsid w:val="00F635C5"/>
    <w:rsid w:val="00F66FA3"/>
    <w:rsid w:val="00F72626"/>
    <w:rsid w:val="00F736E3"/>
    <w:rsid w:val="00F767E8"/>
    <w:rsid w:val="00F77478"/>
    <w:rsid w:val="00F81457"/>
    <w:rsid w:val="00F86A3F"/>
    <w:rsid w:val="00F91297"/>
    <w:rsid w:val="00F9133B"/>
    <w:rsid w:val="00F97730"/>
    <w:rsid w:val="00FA2D9D"/>
    <w:rsid w:val="00FB30AE"/>
    <w:rsid w:val="00FB32A4"/>
    <w:rsid w:val="00FB594D"/>
    <w:rsid w:val="00FC1442"/>
    <w:rsid w:val="00FC49BB"/>
    <w:rsid w:val="00FD020F"/>
    <w:rsid w:val="00FD0AD9"/>
    <w:rsid w:val="00FD616B"/>
    <w:rsid w:val="00FD6372"/>
    <w:rsid w:val="00FD75BF"/>
    <w:rsid w:val="00FE1CF5"/>
    <w:rsid w:val="00FE367F"/>
    <w:rsid w:val="00FF29DC"/>
    <w:rsid w:val="00FF7C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FD75BF"/>
    <w:pPr>
      <w:keepNext/>
      <w:keepLines/>
      <w:pageBreakBefore/>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D75BF"/>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99"/>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8A379D"/>
    <w:rPr>
      <w:sz w:val="16"/>
      <w:szCs w:val="16"/>
    </w:rPr>
  </w:style>
  <w:style w:type="paragraph" w:styleId="CommentText">
    <w:name w:val="annotation text"/>
    <w:basedOn w:val="Normal"/>
    <w:link w:val="CommentTextChar"/>
    <w:uiPriority w:val="99"/>
    <w:semiHidden/>
    <w:unhideWhenUsed/>
    <w:rsid w:val="008A379D"/>
  </w:style>
  <w:style w:type="character" w:customStyle="1" w:styleId="CommentTextChar">
    <w:name w:val="Comment Text Char"/>
    <w:basedOn w:val="DefaultParagraphFont"/>
    <w:link w:val="CommentText"/>
    <w:uiPriority w:val="99"/>
    <w:semiHidden/>
    <w:rsid w:val="008A379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A379D"/>
    <w:rPr>
      <w:b/>
      <w:bCs/>
    </w:rPr>
  </w:style>
  <w:style w:type="character" w:customStyle="1" w:styleId="CommentSubjectChar">
    <w:name w:val="Comment Subject Char"/>
    <w:basedOn w:val="CommentTextChar"/>
    <w:link w:val="CommentSubject"/>
    <w:uiPriority w:val="99"/>
    <w:semiHidden/>
    <w:rsid w:val="008A379D"/>
    <w:rPr>
      <w:rFonts w:ascii="Cambria" w:hAnsi="Cambria"/>
      <w:b/>
      <w:bCs/>
      <w:lang w:eastAsia="en-US"/>
    </w:rPr>
  </w:style>
  <w:style w:type="paragraph" w:styleId="BalloonText">
    <w:name w:val="Balloon Text"/>
    <w:basedOn w:val="Normal"/>
    <w:link w:val="BalloonTextChar"/>
    <w:uiPriority w:val="99"/>
    <w:semiHidden/>
    <w:unhideWhenUsed/>
    <w:rsid w:val="008A379D"/>
    <w:rPr>
      <w:rFonts w:ascii="Tahoma" w:hAnsi="Tahoma" w:cs="Tahoma"/>
      <w:sz w:val="16"/>
      <w:szCs w:val="16"/>
    </w:rPr>
  </w:style>
  <w:style w:type="character" w:customStyle="1" w:styleId="BalloonTextChar">
    <w:name w:val="Balloon Text Char"/>
    <w:basedOn w:val="DefaultParagraphFont"/>
    <w:link w:val="BalloonText"/>
    <w:uiPriority w:val="99"/>
    <w:semiHidden/>
    <w:rsid w:val="008A379D"/>
    <w:rPr>
      <w:rFonts w:ascii="Tahoma" w:hAnsi="Tahoma" w:cs="Tahoma"/>
      <w:sz w:val="16"/>
      <w:szCs w:val="16"/>
      <w:lang w:eastAsia="en-US"/>
    </w:rPr>
  </w:style>
  <w:style w:type="paragraph" w:styleId="Revision">
    <w:name w:val="Revision"/>
    <w:hidden/>
    <w:uiPriority w:val="71"/>
    <w:rsid w:val="00804B35"/>
    <w:rPr>
      <w:rFonts w:ascii="Cambria" w:hAnsi="Cambria"/>
      <w:lang w:eastAsia="en-US"/>
    </w:rPr>
  </w:style>
  <w:style w:type="character" w:customStyle="1" w:styleId="DHHSbodyChar">
    <w:name w:val="DHHS body Char"/>
    <w:link w:val="DHHSbody"/>
    <w:uiPriority w:val="99"/>
    <w:rsid w:val="00FD75BF"/>
    <w:rPr>
      <w:rFonts w:ascii="Arial" w:eastAsia="Times" w:hAnsi="Arial"/>
      <w:lang w:eastAsia="en-US"/>
    </w:rPr>
  </w:style>
  <w:style w:type="paragraph" w:styleId="NormalWeb">
    <w:name w:val="Normal (Web)"/>
    <w:basedOn w:val="Normal"/>
    <w:uiPriority w:val="99"/>
    <w:semiHidden/>
    <w:unhideWhenUsed/>
    <w:rsid w:val="005B253F"/>
    <w:pPr>
      <w:spacing w:before="100" w:beforeAutospacing="1" w:after="100" w:afterAutospacing="1"/>
    </w:pPr>
    <w:rPr>
      <w:rFonts w:ascii="Times New Roman" w:hAnsi="Times New Roman"/>
      <w:sz w:val="24"/>
      <w:szCs w:val="24"/>
      <w:lang w:eastAsia="en-AU"/>
    </w:rPr>
  </w:style>
  <w:style w:type="numbering" w:customStyle="1" w:styleId="Bullets">
    <w:name w:val="Bullets"/>
    <w:rsid w:val="00335914"/>
    <w:pPr>
      <w:numPr>
        <w:numId w:val="20"/>
      </w:numPr>
    </w:pPr>
  </w:style>
  <w:style w:type="paragraph" w:customStyle="1" w:styleId="DHHSfootnote">
    <w:name w:val="DHHS footnote"/>
    <w:link w:val="DHHSfootnoteChar"/>
    <w:uiPriority w:val="99"/>
    <w:rsid w:val="00F66FA3"/>
    <w:pPr>
      <w:spacing w:before="60" w:after="60" w:line="200" w:lineRule="atLeast"/>
    </w:pPr>
    <w:rPr>
      <w:rFonts w:ascii="Arial" w:hAnsi="Arial"/>
      <w:sz w:val="22"/>
      <w:szCs w:val="22"/>
    </w:rPr>
  </w:style>
  <w:style w:type="character" w:customStyle="1" w:styleId="DHHSfootnoteChar">
    <w:name w:val="DHHS footnote Char"/>
    <w:link w:val="DHHSfootnote"/>
    <w:uiPriority w:val="99"/>
    <w:locked/>
    <w:rsid w:val="00F66FA3"/>
    <w:rPr>
      <w:rFonts w:ascii="Arial" w:hAnsi="Arial"/>
      <w:sz w:val="22"/>
      <w:szCs w:val="22"/>
    </w:rPr>
  </w:style>
  <w:style w:type="character" w:customStyle="1" w:styleId="FooterChar">
    <w:name w:val="Footer Char"/>
    <w:basedOn w:val="DefaultParagraphFont"/>
    <w:link w:val="Footer"/>
    <w:uiPriority w:val="99"/>
    <w:rsid w:val="00210BB0"/>
    <w:rPr>
      <w:rFonts w:ascii="Arial" w:hAnsi="Arial" w:cs="Arial"/>
      <w:sz w:val="18"/>
      <w:szCs w:val="18"/>
      <w:lang w:eastAsia="en-US"/>
    </w:rPr>
  </w:style>
  <w:style w:type="paragraph" w:styleId="TOCHeading">
    <w:name w:val="TOC Heading"/>
    <w:basedOn w:val="Heading1"/>
    <w:next w:val="Normal"/>
    <w:uiPriority w:val="39"/>
    <w:semiHidden/>
    <w:unhideWhenUsed/>
    <w:qFormat/>
    <w:rsid w:val="004169B5"/>
    <w:pPr>
      <w:pageBreakBefore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FD75BF"/>
    <w:pPr>
      <w:keepNext/>
      <w:keepLines/>
      <w:pageBreakBefore/>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D75BF"/>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99"/>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8A379D"/>
    <w:rPr>
      <w:sz w:val="16"/>
      <w:szCs w:val="16"/>
    </w:rPr>
  </w:style>
  <w:style w:type="paragraph" w:styleId="CommentText">
    <w:name w:val="annotation text"/>
    <w:basedOn w:val="Normal"/>
    <w:link w:val="CommentTextChar"/>
    <w:uiPriority w:val="99"/>
    <w:semiHidden/>
    <w:unhideWhenUsed/>
    <w:rsid w:val="008A379D"/>
  </w:style>
  <w:style w:type="character" w:customStyle="1" w:styleId="CommentTextChar">
    <w:name w:val="Comment Text Char"/>
    <w:basedOn w:val="DefaultParagraphFont"/>
    <w:link w:val="CommentText"/>
    <w:uiPriority w:val="99"/>
    <w:semiHidden/>
    <w:rsid w:val="008A379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A379D"/>
    <w:rPr>
      <w:b/>
      <w:bCs/>
    </w:rPr>
  </w:style>
  <w:style w:type="character" w:customStyle="1" w:styleId="CommentSubjectChar">
    <w:name w:val="Comment Subject Char"/>
    <w:basedOn w:val="CommentTextChar"/>
    <w:link w:val="CommentSubject"/>
    <w:uiPriority w:val="99"/>
    <w:semiHidden/>
    <w:rsid w:val="008A379D"/>
    <w:rPr>
      <w:rFonts w:ascii="Cambria" w:hAnsi="Cambria"/>
      <w:b/>
      <w:bCs/>
      <w:lang w:eastAsia="en-US"/>
    </w:rPr>
  </w:style>
  <w:style w:type="paragraph" w:styleId="BalloonText">
    <w:name w:val="Balloon Text"/>
    <w:basedOn w:val="Normal"/>
    <w:link w:val="BalloonTextChar"/>
    <w:uiPriority w:val="99"/>
    <w:semiHidden/>
    <w:unhideWhenUsed/>
    <w:rsid w:val="008A379D"/>
    <w:rPr>
      <w:rFonts w:ascii="Tahoma" w:hAnsi="Tahoma" w:cs="Tahoma"/>
      <w:sz w:val="16"/>
      <w:szCs w:val="16"/>
    </w:rPr>
  </w:style>
  <w:style w:type="character" w:customStyle="1" w:styleId="BalloonTextChar">
    <w:name w:val="Balloon Text Char"/>
    <w:basedOn w:val="DefaultParagraphFont"/>
    <w:link w:val="BalloonText"/>
    <w:uiPriority w:val="99"/>
    <w:semiHidden/>
    <w:rsid w:val="008A379D"/>
    <w:rPr>
      <w:rFonts w:ascii="Tahoma" w:hAnsi="Tahoma" w:cs="Tahoma"/>
      <w:sz w:val="16"/>
      <w:szCs w:val="16"/>
      <w:lang w:eastAsia="en-US"/>
    </w:rPr>
  </w:style>
  <w:style w:type="paragraph" w:styleId="Revision">
    <w:name w:val="Revision"/>
    <w:hidden/>
    <w:uiPriority w:val="71"/>
    <w:rsid w:val="00804B35"/>
    <w:rPr>
      <w:rFonts w:ascii="Cambria" w:hAnsi="Cambria"/>
      <w:lang w:eastAsia="en-US"/>
    </w:rPr>
  </w:style>
  <w:style w:type="character" w:customStyle="1" w:styleId="DHHSbodyChar">
    <w:name w:val="DHHS body Char"/>
    <w:link w:val="DHHSbody"/>
    <w:uiPriority w:val="99"/>
    <w:rsid w:val="00FD75BF"/>
    <w:rPr>
      <w:rFonts w:ascii="Arial" w:eastAsia="Times" w:hAnsi="Arial"/>
      <w:lang w:eastAsia="en-US"/>
    </w:rPr>
  </w:style>
  <w:style w:type="paragraph" w:styleId="NormalWeb">
    <w:name w:val="Normal (Web)"/>
    <w:basedOn w:val="Normal"/>
    <w:uiPriority w:val="99"/>
    <w:semiHidden/>
    <w:unhideWhenUsed/>
    <w:rsid w:val="005B253F"/>
    <w:pPr>
      <w:spacing w:before="100" w:beforeAutospacing="1" w:after="100" w:afterAutospacing="1"/>
    </w:pPr>
    <w:rPr>
      <w:rFonts w:ascii="Times New Roman" w:hAnsi="Times New Roman"/>
      <w:sz w:val="24"/>
      <w:szCs w:val="24"/>
      <w:lang w:eastAsia="en-AU"/>
    </w:rPr>
  </w:style>
  <w:style w:type="numbering" w:customStyle="1" w:styleId="Bullets">
    <w:name w:val="Bullets"/>
    <w:rsid w:val="00335914"/>
    <w:pPr>
      <w:numPr>
        <w:numId w:val="20"/>
      </w:numPr>
    </w:pPr>
  </w:style>
  <w:style w:type="paragraph" w:customStyle="1" w:styleId="DHHSfootnote">
    <w:name w:val="DHHS footnote"/>
    <w:link w:val="DHHSfootnoteChar"/>
    <w:uiPriority w:val="99"/>
    <w:rsid w:val="00F66FA3"/>
    <w:pPr>
      <w:spacing w:before="60" w:after="60" w:line="200" w:lineRule="atLeast"/>
    </w:pPr>
    <w:rPr>
      <w:rFonts w:ascii="Arial" w:hAnsi="Arial"/>
      <w:sz w:val="22"/>
      <w:szCs w:val="22"/>
    </w:rPr>
  </w:style>
  <w:style w:type="character" w:customStyle="1" w:styleId="DHHSfootnoteChar">
    <w:name w:val="DHHS footnote Char"/>
    <w:link w:val="DHHSfootnote"/>
    <w:uiPriority w:val="99"/>
    <w:locked/>
    <w:rsid w:val="00F66FA3"/>
    <w:rPr>
      <w:rFonts w:ascii="Arial" w:hAnsi="Arial"/>
      <w:sz w:val="22"/>
      <w:szCs w:val="22"/>
    </w:rPr>
  </w:style>
  <w:style w:type="character" w:customStyle="1" w:styleId="FooterChar">
    <w:name w:val="Footer Char"/>
    <w:basedOn w:val="DefaultParagraphFont"/>
    <w:link w:val="Footer"/>
    <w:uiPriority w:val="99"/>
    <w:rsid w:val="00210BB0"/>
    <w:rPr>
      <w:rFonts w:ascii="Arial" w:hAnsi="Arial" w:cs="Arial"/>
      <w:sz w:val="18"/>
      <w:szCs w:val="18"/>
      <w:lang w:eastAsia="en-US"/>
    </w:rPr>
  </w:style>
  <w:style w:type="paragraph" w:styleId="TOCHeading">
    <w:name w:val="TOC Heading"/>
    <w:basedOn w:val="Heading1"/>
    <w:next w:val="Normal"/>
    <w:uiPriority w:val="39"/>
    <w:semiHidden/>
    <w:unhideWhenUsed/>
    <w:qFormat/>
    <w:rsid w:val="004169B5"/>
    <w:pPr>
      <w:pageBreakBefore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7483">
      <w:bodyDiv w:val="1"/>
      <w:marLeft w:val="0"/>
      <w:marRight w:val="0"/>
      <w:marTop w:val="0"/>
      <w:marBottom w:val="0"/>
      <w:divBdr>
        <w:top w:val="none" w:sz="0" w:space="0" w:color="auto"/>
        <w:left w:val="none" w:sz="0" w:space="0" w:color="auto"/>
        <w:bottom w:val="none" w:sz="0" w:space="0" w:color="auto"/>
        <w:right w:val="none" w:sz="0" w:space="0" w:color="auto"/>
      </w:divBdr>
    </w:div>
    <w:div w:id="340862100">
      <w:bodyDiv w:val="1"/>
      <w:marLeft w:val="0"/>
      <w:marRight w:val="0"/>
      <w:marTop w:val="0"/>
      <w:marBottom w:val="0"/>
      <w:divBdr>
        <w:top w:val="none" w:sz="0" w:space="0" w:color="auto"/>
        <w:left w:val="none" w:sz="0" w:space="0" w:color="auto"/>
        <w:bottom w:val="none" w:sz="0" w:space="0" w:color="auto"/>
        <w:right w:val="none" w:sz="0" w:space="0" w:color="auto"/>
      </w:divBdr>
    </w:div>
    <w:div w:id="394550982">
      <w:bodyDiv w:val="1"/>
      <w:marLeft w:val="0"/>
      <w:marRight w:val="0"/>
      <w:marTop w:val="0"/>
      <w:marBottom w:val="0"/>
      <w:divBdr>
        <w:top w:val="none" w:sz="0" w:space="0" w:color="auto"/>
        <w:left w:val="none" w:sz="0" w:space="0" w:color="auto"/>
        <w:bottom w:val="none" w:sz="0" w:space="0" w:color="auto"/>
        <w:right w:val="none" w:sz="0" w:space="0" w:color="auto"/>
      </w:divBdr>
    </w:div>
    <w:div w:id="440807220">
      <w:bodyDiv w:val="1"/>
      <w:marLeft w:val="0"/>
      <w:marRight w:val="0"/>
      <w:marTop w:val="0"/>
      <w:marBottom w:val="0"/>
      <w:divBdr>
        <w:top w:val="none" w:sz="0" w:space="0" w:color="auto"/>
        <w:left w:val="none" w:sz="0" w:space="0" w:color="auto"/>
        <w:bottom w:val="none" w:sz="0" w:space="0" w:color="auto"/>
        <w:right w:val="none" w:sz="0" w:space="0" w:color="auto"/>
      </w:divBdr>
    </w:div>
    <w:div w:id="1333607584">
      <w:bodyDiv w:val="1"/>
      <w:marLeft w:val="0"/>
      <w:marRight w:val="0"/>
      <w:marTop w:val="0"/>
      <w:marBottom w:val="0"/>
      <w:divBdr>
        <w:top w:val="none" w:sz="0" w:space="0" w:color="auto"/>
        <w:left w:val="none" w:sz="0" w:space="0" w:color="auto"/>
        <w:bottom w:val="none" w:sz="0" w:space="0" w:color="auto"/>
        <w:right w:val="none" w:sz="0" w:space="0" w:color="auto"/>
      </w:divBdr>
    </w:div>
    <w:div w:id="1358656017">
      <w:bodyDiv w:val="1"/>
      <w:marLeft w:val="0"/>
      <w:marRight w:val="0"/>
      <w:marTop w:val="0"/>
      <w:marBottom w:val="0"/>
      <w:divBdr>
        <w:top w:val="none" w:sz="0" w:space="0" w:color="auto"/>
        <w:left w:val="none" w:sz="0" w:space="0" w:color="auto"/>
        <w:bottom w:val="none" w:sz="0" w:space="0" w:color="auto"/>
        <w:right w:val="none" w:sz="0" w:space="0" w:color="auto"/>
      </w:divBdr>
    </w:div>
    <w:div w:id="1395279564">
      <w:bodyDiv w:val="1"/>
      <w:marLeft w:val="0"/>
      <w:marRight w:val="0"/>
      <w:marTop w:val="0"/>
      <w:marBottom w:val="0"/>
      <w:divBdr>
        <w:top w:val="none" w:sz="0" w:space="0" w:color="auto"/>
        <w:left w:val="none" w:sz="0" w:space="0" w:color="auto"/>
        <w:bottom w:val="none" w:sz="0" w:space="0" w:color="auto"/>
        <w:right w:val="none" w:sz="0" w:space="0" w:color="auto"/>
      </w:divBdr>
    </w:div>
    <w:div w:id="1471702571">
      <w:bodyDiv w:val="1"/>
      <w:marLeft w:val="0"/>
      <w:marRight w:val="0"/>
      <w:marTop w:val="0"/>
      <w:marBottom w:val="0"/>
      <w:divBdr>
        <w:top w:val="none" w:sz="0" w:space="0" w:color="auto"/>
        <w:left w:val="none" w:sz="0" w:space="0" w:color="auto"/>
        <w:bottom w:val="none" w:sz="0" w:space="0" w:color="auto"/>
        <w:right w:val="none" w:sz="0" w:space="0" w:color="auto"/>
      </w:divBdr>
    </w:div>
    <w:div w:id="1541743136">
      <w:bodyDiv w:val="1"/>
      <w:marLeft w:val="0"/>
      <w:marRight w:val="0"/>
      <w:marTop w:val="0"/>
      <w:marBottom w:val="0"/>
      <w:divBdr>
        <w:top w:val="none" w:sz="0" w:space="0" w:color="auto"/>
        <w:left w:val="none" w:sz="0" w:space="0" w:color="auto"/>
        <w:bottom w:val="none" w:sz="0" w:space="0" w:color="auto"/>
        <w:right w:val="none" w:sz="0" w:space="0" w:color="auto"/>
      </w:divBdr>
    </w:div>
    <w:div w:id="154745228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2.health.vic.gov.au/about/policy-and-funding-guideli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2.health.vic.gov.au/hospitals-and-health-services/funding-performance-accountability/statement-of-priorities" TargetMode="External"/><Relationship Id="rId17" Type="http://schemas.openxmlformats.org/officeDocument/2006/relationships/hyperlink" Target="https://www2.health.vic.gov.au/hospitals-and-health-services/funding-performance-accountability/performance-monito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heath@dhhs.vic.gov.a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2.health.vic.gov.au/hospitals-and-health-services/funding-performance-accountability/pricing-funding-framework/funding-poli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ldhosp.vic.gov.au"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E1BB-0EB0-48CD-9B1D-6B7EB2AC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Template>
  <TotalTime>0</TotalTime>
  <Pages>3</Pages>
  <Words>2686</Words>
  <Characters>15311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17962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Cosgriff</dc:creator>
  <cp:lastModifiedBy>Katrina Sparrow</cp:lastModifiedBy>
  <cp:revision>2</cp:revision>
  <cp:lastPrinted>2017-08-23T05:18:00Z</cp:lastPrinted>
  <dcterms:created xsi:type="dcterms:W3CDTF">2017-11-13T02:16:00Z</dcterms:created>
  <dcterms:modified xsi:type="dcterms:W3CDTF">2017-11-13T02:16:00Z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